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0" w:rsidRDefault="00083520"/>
    <w:tbl>
      <w:tblPr>
        <w:tblStyle w:val="TabloKlavuzu"/>
        <w:tblW w:w="10396" w:type="dxa"/>
        <w:tblInd w:w="-714" w:type="dxa"/>
        <w:tblLook w:val="04A0" w:firstRow="1" w:lastRow="0" w:firstColumn="1" w:lastColumn="0" w:noHBand="0" w:noVBand="1"/>
      </w:tblPr>
      <w:tblGrid>
        <w:gridCol w:w="10396"/>
      </w:tblGrid>
      <w:tr w:rsidR="0089310D" w:rsidRPr="0042376F" w:rsidTr="007B6AA8">
        <w:trPr>
          <w:trHeight w:val="640"/>
        </w:trPr>
        <w:tc>
          <w:tcPr>
            <w:tcW w:w="10396" w:type="dxa"/>
            <w:vAlign w:val="center"/>
          </w:tcPr>
          <w:p w:rsidR="0089310D" w:rsidRPr="007B6AA8" w:rsidRDefault="0089310D" w:rsidP="007B6AA8">
            <w:pPr>
              <w:ind w:left="1158" w:hanging="115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B6AA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MEZUNİYET KOMİSYONU</w:t>
            </w:r>
          </w:p>
        </w:tc>
      </w:tr>
      <w:tr w:rsidR="0089310D" w:rsidRPr="00DC4DA2" w:rsidTr="007B6AA8">
        <w:tc>
          <w:tcPr>
            <w:tcW w:w="10396" w:type="dxa"/>
          </w:tcPr>
          <w:p w:rsidR="0089310D" w:rsidRPr="007B6AA8" w:rsidRDefault="0089310D" w:rsidP="007B6AA8">
            <w:pPr>
              <w:spacing w:line="238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Mezuniyet Komisyonunun görevi genel olarak; </w:t>
            </w:r>
            <w:r w:rsidRP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ilgili mevzuat çerçevesinde, eğitim-öğretim dönemini başarıyla tamamlayan ve mezuniyete hak kazanan öğrencilerin, kontrol amaçlı not durum belgelerini eğitim-öğretim planlarıyla karşılaştırarak incelenmektedir.</w:t>
            </w:r>
            <w:r w:rsid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(Farabi, Mevlana ve </w:t>
            </w:r>
            <w:proofErr w:type="spellStart"/>
            <w:r w:rsidRP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Erasmus</w:t>
            </w:r>
            <w:proofErr w:type="spellEnd"/>
            <w:r w:rsidRP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Değişim Programındaki öğrencilerin ders eşleştirmeleri ile ilgili Yüksekokul Kurulu Kararı örnekleri karşılaştırılacaktır) ve eğitim-öğretim planını başarıyla tamamlamış öğrencilerin mezuniyetine karar vermektir</w:t>
            </w:r>
            <w:r w:rsidR="007B6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9310D" w:rsidRPr="0042376F" w:rsidTr="007B6AA8">
        <w:trPr>
          <w:trHeight w:val="5151"/>
        </w:trPr>
        <w:tc>
          <w:tcPr>
            <w:tcW w:w="10396" w:type="dxa"/>
          </w:tcPr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0" w:line="244" w:lineRule="auto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Eğitim-öğretim dönemini başarıyla tamamlamış ve mezuniyete hak kazanmış öğrencilerin not durum belgelerini, eğitim-öğretim planı ile karşılaştırarak kontrol amaçlı incelemek.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 durumundaki öğrencilerin durumlarını görüşmek ve değerlendirmek.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3" w:line="241" w:lineRule="auto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0" w:line="244" w:lineRule="auto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Mezuniyete hak kazanmış öğrencilerin transkriptlerini inceleyerek eksik kredilerinin olup olmadığını kontrol etmek.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0" w:line="244" w:lineRule="auto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Yönetmelikte belirtilen </w:t>
            </w:r>
            <w:proofErr w:type="spellStart"/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>AKTS’yi</w:t>
            </w:r>
            <w:proofErr w:type="spellEnd"/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tamamlayan öğrenciler için Mezuniyet Komisyon Kararı almak.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0" w:line="244" w:lineRule="auto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spacing w:after="45"/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>Değişim programlarında olan öğrencilerin (</w:t>
            </w:r>
            <w:proofErr w:type="spellStart"/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>, Farabi ve Mevlana) mezuniyetlerinin belirlenmesinin, ilgili üniversitelerden not gelmesi durumunda gerektiğinde bu durumda olan öğrenciler için farklı zamanlarda toplantı yapmak ve kararlar almak. Mezuniyet</w:t>
            </w:r>
            <w:r w:rsid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Töreni organizasyonunda görev almak. </w:t>
            </w:r>
          </w:p>
          <w:p w:rsidR="0089310D" w:rsidRPr="007B6AA8" w:rsidRDefault="0089310D" w:rsidP="0089310D">
            <w:pPr>
              <w:numPr>
                <w:ilvl w:val="0"/>
                <w:numId w:val="1"/>
              </w:numPr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Aldığı kararları Bölüm Kurulunda görüşmek üzere Bölüm Başkanlığına iletmek. </w:t>
            </w:r>
          </w:p>
          <w:p w:rsidR="0089310D" w:rsidRPr="007B6AA8" w:rsidRDefault="0089310D" w:rsidP="007B6AA8">
            <w:pPr>
              <w:numPr>
                <w:ilvl w:val="0"/>
                <w:numId w:val="1"/>
              </w:numPr>
              <w:ind w:hanging="360"/>
              <w:jc w:val="both"/>
              <w:rPr>
                <w:sz w:val="24"/>
                <w:szCs w:val="24"/>
              </w:rPr>
            </w:pPr>
            <w:r w:rsidRPr="007B6AA8">
              <w:rPr>
                <w:rFonts w:ascii="Times New Roman" w:eastAsia="Times New Roman" w:hAnsi="Times New Roman" w:cs="Times New Roman"/>
                <w:sz w:val="24"/>
                <w:szCs w:val="24"/>
              </w:rPr>
              <w:t>Mezuniyet Komisyonu Müdüre karşı sorumludur.</w:t>
            </w:r>
          </w:p>
        </w:tc>
      </w:tr>
    </w:tbl>
    <w:p w:rsidR="0089310D" w:rsidRDefault="0089310D"/>
    <w:sectPr w:rsidR="00893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B5" w:rsidRDefault="001462B5" w:rsidP="007B6AA8">
      <w:pPr>
        <w:spacing w:after="0" w:line="240" w:lineRule="auto"/>
      </w:pPr>
      <w:r>
        <w:separator/>
      </w:r>
    </w:p>
  </w:endnote>
  <w:endnote w:type="continuationSeparator" w:id="0">
    <w:p w:rsidR="001462B5" w:rsidRDefault="001462B5" w:rsidP="007B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56" w:rsidRDefault="004769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F" w:rsidRDefault="00E42139" w:rsidP="00C4726F">
    <w:pPr>
      <w:pStyle w:val="AltBilgi"/>
      <w:ind w:hanging="426"/>
      <w:rPr>
        <w:rStyle w:val="SayfaNumaras"/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C4726F">
      <w:rPr>
        <w:rFonts w:ascii="Times New Roman" w:hAnsi="Times New Roman" w:cs="Times New Roman"/>
      </w:rPr>
      <w:t xml:space="preserve">                                                             </w:t>
    </w:r>
    <w:r w:rsidR="00C4726F">
      <w:t xml:space="preserve">                                                                </w:t>
    </w:r>
    <w:r w:rsidR="00C4726F" w:rsidRPr="000C30AB">
      <w:rPr>
        <w:rFonts w:ascii="Times New Roman" w:hAnsi="Times New Roman" w:cs="Times New Roman"/>
      </w:rPr>
      <w:t xml:space="preserve">Sayfa No: </w:t>
    </w:r>
    <w:r w:rsidR="00C4726F" w:rsidRPr="000C30AB">
      <w:rPr>
        <w:rStyle w:val="SayfaNumaras"/>
        <w:rFonts w:ascii="Times New Roman" w:hAnsi="Times New Roman" w:cs="Times New Roman"/>
      </w:rPr>
      <w:fldChar w:fldCharType="begin"/>
    </w:r>
    <w:r w:rsidR="00C4726F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4726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C4726F" w:rsidRPr="000C30AB">
      <w:rPr>
        <w:rStyle w:val="SayfaNumaras"/>
        <w:rFonts w:ascii="Times New Roman" w:hAnsi="Times New Roman" w:cs="Times New Roman"/>
      </w:rPr>
      <w:fldChar w:fldCharType="end"/>
    </w:r>
    <w:r w:rsidR="00C4726F" w:rsidRPr="000C30AB">
      <w:rPr>
        <w:rStyle w:val="SayfaNumaras"/>
        <w:rFonts w:ascii="Times New Roman" w:hAnsi="Times New Roman" w:cs="Times New Roman"/>
      </w:rPr>
      <w:t>/</w:t>
    </w:r>
    <w:r w:rsidR="00C4726F" w:rsidRPr="000C30AB">
      <w:rPr>
        <w:rStyle w:val="SayfaNumaras"/>
        <w:rFonts w:ascii="Times New Roman" w:hAnsi="Times New Roman" w:cs="Times New Roman"/>
      </w:rPr>
      <w:fldChar w:fldCharType="begin"/>
    </w:r>
    <w:r w:rsidR="00C4726F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4726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C4726F" w:rsidRPr="000C30AB">
      <w:rPr>
        <w:rStyle w:val="SayfaNumaras"/>
        <w:rFonts w:ascii="Times New Roman" w:hAnsi="Times New Roman" w:cs="Times New Roman"/>
      </w:rPr>
      <w:fldChar w:fldCharType="end"/>
    </w:r>
  </w:p>
  <w:p w:rsidR="00C4726F" w:rsidRPr="00C4726F" w:rsidRDefault="00C4726F" w:rsidP="00C4726F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56" w:rsidRDefault="004769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B5" w:rsidRDefault="001462B5" w:rsidP="007B6AA8">
      <w:pPr>
        <w:spacing w:after="0" w:line="240" w:lineRule="auto"/>
      </w:pPr>
      <w:r>
        <w:separator/>
      </w:r>
    </w:p>
  </w:footnote>
  <w:footnote w:type="continuationSeparator" w:id="0">
    <w:p w:rsidR="001462B5" w:rsidRDefault="001462B5" w:rsidP="007B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56" w:rsidRDefault="004769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343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468"/>
      <w:gridCol w:w="1601"/>
      <w:gridCol w:w="1792"/>
    </w:tblGrid>
    <w:tr w:rsidR="007B6AA8" w:rsidTr="007B6AA8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1650E2" w:rsidP="007B6AA8">
          <w:r>
            <w:rPr>
              <w:noProof/>
            </w:rPr>
            <w:drawing>
              <wp:inline distT="0" distB="0" distL="0" distR="0" wp14:anchorId="19FD3F86" wp14:editId="237ACA4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pPr>
            <w:ind w:right="39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</w:p>
        <w:p w:rsidR="007B6AA8" w:rsidRDefault="007B6AA8" w:rsidP="007B6AA8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7B6AA8" w:rsidRDefault="007B6AA8" w:rsidP="007B6AA8">
          <w:pPr>
            <w:ind w:left="81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DİYARBAKIR SOSYAL BİLİMLER MYO</w:t>
          </w:r>
        </w:p>
        <w:p w:rsidR="007B6AA8" w:rsidRDefault="007B6AA8" w:rsidP="007B6AA8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b/>
              <w:sz w:val="18"/>
            </w:rPr>
            <w:t>SBM-GRV-008</w:t>
          </w:r>
        </w:p>
      </w:tc>
    </w:tr>
    <w:tr w:rsidR="007B6AA8" w:rsidTr="007B6AA8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7B6AA8" w:rsidRDefault="007B6AA8" w:rsidP="007B6AA8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7B6AA8" w:rsidRDefault="007B6AA8" w:rsidP="007B6AA8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7B6AA8" w:rsidTr="007B6AA8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7B6AA8" w:rsidRDefault="007B6AA8" w:rsidP="007B6AA8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7B6AA8" w:rsidRDefault="007B6AA8" w:rsidP="007B6AA8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1650E2" w:rsidP="007B6AA8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7B6AA8" w:rsidTr="007B6AA8">
      <w:trPr>
        <w:trHeight w:val="251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B6AA8" w:rsidRDefault="007B6AA8" w:rsidP="007B6AA8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7B6AA8" w:rsidRDefault="007B6A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56" w:rsidRDefault="004769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1539E"/>
    <w:multiLevelType w:val="hybridMultilevel"/>
    <w:tmpl w:val="D6202B2C"/>
    <w:lvl w:ilvl="0" w:tplc="041F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8B5D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A061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2CD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429E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A969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8E97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651C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A3F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2"/>
    <w:rsid w:val="00083520"/>
    <w:rsid w:val="001462B5"/>
    <w:rsid w:val="001650E2"/>
    <w:rsid w:val="002D65E2"/>
    <w:rsid w:val="00476956"/>
    <w:rsid w:val="005B7C80"/>
    <w:rsid w:val="007B6AA8"/>
    <w:rsid w:val="0089310D"/>
    <w:rsid w:val="00C4726F"/>
    <w:rsid w:val="00E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893148"/>
  <w15:chartTrackingRefBased/>
  <w15:docId w15:val="{0E7F6CDA-F3E1-4EA0-B786-6AAE700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0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9310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9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AA8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AA8"/>
    <w:rPr>
      <w:rFonts w:ascii="Calibri" w:eastAsia="Calibri" w:hAnsi="Calibri" w:cs="Calibri"/>
      <w:color w:val="000000"/>
      <w:lang w:eastAsia="tr-TR"/>
    </w:rPr>
  </w:style>
  <w:style w:type="character" w:styleId="SayfaNumaras">
    <w:name w:val="page number"/>
    <w:basedOn w:val="VarsaylanParagrafYazTipi"/>
    <w:unhideWhenUsed/>
    <w:rsid w:val="00C4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Company>-==-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7</cp:revision>
  <dcterms:created xsi:type="dcterms:W3CDTF">2018-12-03T07:31:00Z</dcterms:created>
  <dcterms:modified xsi:type="dcterms:W3CDTF">2022-04-01T07:25:00Z</dcterms:modified>
</cp:coreProperties>
</file>