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072"/>
      </w:tblGrid>
      <w:tr w:rsidR="00544E8F" w:rsidRPr="00544E8F" w:rsidTr="00544E8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544E8F" w:rsidRPr="00544E8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44E8F" w:rsidRPr="00544E8F" w:rsidRDefault="00544E8F" w:rsidP="00544E8F">
                  <w:pPr>
                    <w:spacing w:after="0" w:line="240" w:lineRule="atLeast"/>
                    <w:rPr>
                      <w:rFonts w:ascii="Times New Roman" w:eastAsia="Times New Roman" w:hAnsi="Times New Roman" w:cs="Times New Roman"/>
                      <w:sz w:val="24"/>
                      <w:szCs w:val="24"/>
                      <w:lang w:eastAsia="tr-TR"/>
                    </w:rPr>
                  </w:pPr>
                  <w:r w:rsidRPr="00544E8F">
                    <w:rPr>
                      <w:rFonts w:ascii="Arial" w:eastAsia="Times New Roman" w:hAnsi="Arial" w:cs="Arial"/>
                      <w:sz w:val="16"/>
                      <w:szCs w:val="16"/>
                      <w:lang w:eastAsia="tr-TR"/>
                    </w:rPr>
                    <w:t>1 Ağustos 2014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44E8F" w:rsidRPr="00544E8F" w:rsidRDefault="00544E8F" w:rsidP="00544E8F">
                  <w:pPr>
                    <w:spacing w:after="0" w:line="240" w:lineRule="atLeast"/>
                    <w:jc w:val="center"/>
                    <w:rPr>
                      <w:rFonts w:ascii="Times New Roman" w:eastAsia="Times New Roman" w:hAnsi="Times New Roman" w:cs="Times New Roman"/>
                      <w:sz w:val="24"/>
                      <w:szCs w:val="24"/>
                      <w:lang w:eastAsia="tr-TR"/>
                    </w:rPr>
                  </w:pPr>
                  <w:r w:rsidRPr="00544E8F">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544E8F" w:rsidRPr="00544E8F" w:rsidRDefault="00544E8F" w:rsidP="00544E8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44E8F">
                    <w:rPr>
                      <w:rFonts w:ascii="Arial" w:eastAsia="Times New Roman" w:hAnsi="Arial" w:cs="Arial"/>
                      <w:sz w:val="16"/>
                      <w:szCs w:val="16"/>
                      <w:lang w:eastAsia="tr-TR"/>
                    </w:rPr>
                    <w:t>Sayı : 29075</w:t>
                  </w:r>
                  <w:proofErr w:type="gramEnd"/>
                </w:p>
              </w:tc>
            </w:tr>
            <w:tr w:rsidR="00544E8F" w:rsidRPr="00544E8F">
              <w:trPr>
                <w:trHeight w:val="480"/>
                <w:jc w:val="center"/>
              </w:trPr>
              <w:tc>
                <w:tcPr>
                  <w:tcW w:w="8789" w:type="dxa"/>
                  <w:gridSpan w:val="3"/>
                  <w:tcMar>
                    <w:top w:w="0" w:type="dxa"/>
                    <w:left w:w="108" w:type="dxa"/>
                    <w:bottom w:w="0" w:type="dxa"/>
                    <w:right w:w="108" w:type="dxa"/>
                  </w:tcMar>
                  <w:vAlign w:val="center"/>
                  <w:hideMark/>
                </w:tcPr>
                <w:p w:rsidR="00544E8F" w:rsidRPr="00544E8F" w:rsidRDefault="00544E8F" w:rsidP="00544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E8F">
                    <w:rPr>
                      <w:rFonts w:ascii="Arial" w:eastAsia="Times New Roman" w:hAnsi="Arial" w:cs="Arial"/>
                      <w:b/>
                      <w:bCs/>
                      <w:color w:val="000080"/>
                      <w:sz w:val="18"/>
                      <w:szCs w:val="18"/>
                      <w:lang w:eastAsia="tr-TR"/>
                    </w:rPr>
                    <w:t>YÖNETMELİK</w:t>
                  </w:r>
                </w:p>
              </w:tc>
            </w:tr>
            <w:tr w:rsidR="00544E8F" w:rsidRPr="00544E8F">
              <w:trPr>
                <w:trHeight w:val="480"/>
                <w:jc w:val="center"/>
              </w:trPr>
              <w:tc>
                <w:tcPr>
                  <w:tcW w:w="8789" w:type="dxa"/>
                  <w:gridSpan w:val="3"/>
                  <w:tcMar>
                    <w:top w:w="0" w:type="dxa"/>
                    <w:left w:w="108" w:type="dxa"/>
                    <w:bottom w:w="0" w:type="dxa"/>
                    <w:right w:w="108" w:type="dxa"/>
                  </w:tcMar>
                  <w:vAlign w:val="center"/>
                  <w:hideMark/>
                </w:tcPr>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Dicle Üniversitesinden:</w:t>
                  </w:r>
                </w:p>
                <w:p w:rsidR="00544E8F" w:rsidRPr="00544E8F" w:rsidRDefault="00544E8F" w:rsidP="00544E8F">
                  <w:pPr>
                    <w:spacing w:before="100" w:beforeAutospacing="1" w:after="100" w:afterAutospacing="1" w:line="240" w:lineRule="atLeast"/>
                    <w:jc w:val="center"/>
                    <w:rPr>
                      <w:rFonts w:ascii="Times New Roman" w:eastAsia="Times New Roman" w:hAnsi="Times New Roman" w:cs="Times New Roman"/>
                      <w:b/>
                      <w:sz w:val="24"/>
                      <w:szCs w:val="24"/>
                      <w:lang w:eastAsia="tr-TR"/>
                    </w:rPr>
                  </w:pPr>
                  <w:bookmarkStart w:id="0" w:name="_GoBack"/>
                  <w:r w:rsidRPr="00544E8F">
                    <w:rPr>
                      <w:rFonts w:ascii="Times New Roman" w:eastAsia="Times New Roman" w:hAnsi="Times New Roman" w:cs="Times New Roman"/>
                      <w:b/>
                      <w:sz w:val="18"/>
                      <w:szCs w:val="18"/>
                      <w:lang w:eastAsia="tr-TR"/>
                    </w:rPr>
                    <w:t>DİCLE ÜNİVERSİTESİ TIP FAKÜLTESİ EĞİTİM-ÖĞRETİM VE</w:t>
                  </w:r>
                </w:p>
                <w:p w:rsidR="00544E8F" w:rsidRPr="00544E8F" w:rsidRDefault="00544E8F" w:rsidP="00544E8F">
                  <w:pPr>
                    <w:spacing w:before="100" w:beforeAutospacing="1" w:after="100" w:afterAutospacing="1" w:line="240" w:lineRule="atLeast"/>
                    <w:jc w:val="center"/>
                    <w:rPr>
                      <w:rFonts w:ascii="Times New Roman" w:eastAsia="Times New Roman" w:hAnsi="Times New Roman" w:cs="Times New Roman"/>
                      <w:b/>
                      <w:sz w:val="24"/>
                      <w:szCs w:val="24"/>
                      <w:lang w:eastAsia="tr-TR"/>
                    </w:rPr>
                  </w:pPr>
                  <w:r w:rsidRPr="00544E8F">
                    <w:rPr>
                      <w:rFonts w:ascii="Times New Roman" w:eastAsia="Times New Roman" w:hAnsi="Times New Roman" w:cs="Times New Roman"/>
                      <w:b/>
                      <w:sz w:val="18"/>
                      <w:szCs w:val="18"/>
                      <w:lang w:eastAsia="tr-TR"/>
                    </w:rPr>
                    <w:t>SINAV YÖNETMELİĞİNDE DEĞİŞİKLİK YAPILMASINA</w:t>
                  </w:r>
                </w:p>
                <w:p w:rsidR="00544E8F" w:rsidRPr="00544E8F" w:rsidRDefault="00544E8F" w:rsidP="00544E8F">
                  <w:pPr>
                    <w:spacing w:before="100" w:beforeAutospacing="1" w:after="100" w:afterAutospacing="1" w:line="240" w:lineRule="atLeast"/>
                    <w:jc w:val="center"/>
                    <w:rPr>
                      <w:rFonts w:ascii="Times New Roman" w:eastAsia="Times New Roman" w:hAnsi="Times New Roman" w:cs="Times New Roman"/>
                      <w:b/>
                      <w:sz w:val="24"/>
                      <w:szCs w:val="24"/>
                      <w:lang w:eastAsia="tr-TR"/>
                    </w:rPr>
                  </w:pPr>
                  <w:r w:rsidRPr="00544E8F">
                    <w:rPr>
                      <w:rFonts w:ascii="Times New Roman" w:eastAsia="Times New Roman" w:hAnsi="Times New Roman" w:cs="Times New Roman"/>
                      <w:b/>
                      <w:sz w:val="18"/>
                      <w:szCs w:val="18"/>
                      <w:lang w:eastAsia="tr-TR"/>
                    </w:rPr>
                    <w:t>DAİR YÖNETMELİK</w:t>
                  </w:r>
                </w:p>
                <w:bookmarkEnd w:id="0"/>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1 –</w:t>
                  </w:r>
                  <w:r w:rsidRPr="00544E8F">
                    <w:rPr>
                      <w:rFonts w:ascii="Times New Roman" w:eastAsia="Times New Roman" w:hAnsi="Times New Roman" w:cs="Times New Roman"/>
                      <w:sz w:val="18"/>
                      <w:szCs w:val="18"/>
                      <w:lang w:eastAsia="tr-TR"/>
                    </w:rPr>
                    <w:t xml:space="preserve"> 30/7/2003 tarihli ve 25184 sayılı Resmî </w:t>
                  </w:r>
                  <w:proofErr w:type="spellStart"/>
                  <w:r w:rsidRPr="00544E8F">
                    <w:rPr>
                      <w:rFonts w:ascii="Times New Roman" w:eastAsia="Times New Roman" w:hAnsi="Times New Roman" w:cs="Times New Roman"/>
                      <w:sz w:val="18"/>
                      <w:szCs w:val="18"/>
                      <w:lang w:eastAsia="tr-TR"/>
                    </w:rPr>
                    <w:t>Gazete’de</w:t>
                  </w:r>
                  <w:proofErr w:type="spellEnd"/>
                  <w:r w:rsidRPr="00544E8F">
                    <w:rPr>
                      <w:rFonts w:ascii="Times New Roman" w:eastAsia="Times New Roman" w:hAnsi="Times New Roman" w:cs="Times New Roman"/>
                      <w:sz w:val="18"/>
                      <w:szCs w:val="18"/>
                      <w:lang w:eastAsia="tr-TR"/>
                    </w:rPr>
                    <w:t xml:space="preserve"> yayımlanan Dicle Üniversitesi Tıp Fakültesi Eğitim-Öğretim ve Sınav Yönetmeliğinin 4 üncü maddesinin birinci fıkrasının (m) ve (o) bentleri aşağıdaki şekilde değiştirilmiştir.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“m) Yarıyıl sonu sınavı: Eğitim-öğretim yarıyılı sonunda yapılan ve o yarıyılda tamamlanmış ders kurullarını kapsayan sınavları,”</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“o) Bütünleme sınavı: İkinci yarıyıl sonu sınavından sonra o yıl için başarısız olduğu hesaplanan veya staj sonu sınavından başarısız olan öğrencilerin girmesi gereken sınavı”,</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2 –</w:t>
                  </w:r>
                  <w:r w:rsidRPr="00544E8F">
                    <w:rPr>
                      <w:rFonts w:ascii="Times New Roman" w:eastAsia="Times New Roman" w:hAnsi="Times New Roman" w:cs="Times New Roman"/>
                      <w:sz w:val="18"/>
                      <w:szCs w:val="18"/>
                      <w:lang w:eastAsia="tr-TR"/>
                    </w:rPr>
                    <w:t> Aynı Yönetmeliğin 7 </w:t>
                  </w:r>
                  <w:proofErr w:type="spellStart"/>
                  <w:r w:rsidRPr="00544E8F">
                    <w:rPr>
                      <w:rFonts w:ascii="Times New Roman" w:eastAsia="Times New Roman" w:hAnsi="Times New Roman" w:cs="Times New Roman"/>
                      <w:sz w:val="18"/>
                      <w:szCs w:val="18"/>
                      <w:lang w:eastAsia="tr-TR"/>
                    </w:rPr>
                    <w:t>nci</w:t>
                  </w:r>
                  <w:proofErr w:type="spellEnd"/>
                  <w:r w:rsidRPr="00544E8F">
                    <w:rPr>
                      <w:rFonts w:ascii="Times New Roman" w:eastAsia="Times New Roman" w:hAnsi="Times New Roman" w:cs="Times New Roman"/>
                      <w:sz w:val="18"/>
                      <w:szCs w:val="18"/>
                      <w:lang w:eastAsia="tr-TR"/>
                    </w:rPr>
                    <w:t> maddesi aşağıdaki şekilde değiştirilmiştir.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7 –</w:t>
                  </w:r>
                  <w:r w:rsidRPr="00544E8F">
                    <w:rPr>
                      <w:rFonts w:ascii="Times New Roman" w:eastAsia="Times New Roman" w:hAnsi="Times New Roman" w:cs="Times New Roman"/>
                      <w:sz w:val="18"/>
                      <w:szCs w:val="18"/>
                      <w:lang w:eastAsia="tr-TR"/>
                    </w:rPr>
                    <w:t> Koordinatör: Ders kurulu başkanları ile birlikte ders programına son şeklini vererek, eğitim komisyonunun inceleme ve kabulüne sunar. Sınavların yapılması aşamasında gerekli işlemlerin yerine getirilmesini sağlar. Yarıyıl sonu sınavları ve bütünleme sınavlarında soruların toplanmasını, basılmasını, okutulmasını düzenler. Gerektiğinde sınav evrakının maddi hata açısından incelenmesini sağlar. Eğitim komisyonuna tıp eğitimi kuruluna ve ders kurulları ile ilgili toplantılara katılır. Sınıfındaki öğrencilerin eğitim-öğretim ve sınavlar ile ilgili sorunlarının çözümü için ilgililerle ilişki kurar. Koordinatörün herhangi bir nedenle görev yerinden ayrılması halinde yerine yardımcılarından birisi, eğitim komisyonu başkanının onayı ile </w:t>
                  </w:r>
                  <w:proofErr w:type="gramStart"/>
                  <w:r w:rsidRPr="00544E8F">
                    <w:rPr>
                      <w:rFonts w:ascii="Times New Roman" w:eastAsia="Times New Roman" w:hAnsi="Times New Roman" w:cs="Times New Roman"/>
                      <w:sz w:val="18"/>
                      <w:szCs w:val="18"/>
                      <w:lang w:eastAsia="tr-TR"/>
                    </w:rPr>
                    <w:t>vekalet</w:t>
                  </w:r>
                  <w:proofErr w:type="gramEnd"/>
                  <w:r w:rsidRPr="00544E8F">
                    <w:rPr>
                      <w:rFonts w:ascii="Times New Roman" w:eastAsia="Times New Roman" w:hAnsi="Times New Roman" w:cs="Times New Roman"/>
                      <w:sz w:val="18"/>
                      <w:szCs w:val="18"/>
                      <w:lang w:eastAsia="tr-TR"/>
                    </w:rPr>
                    <w:t> eder. İki aydan fazla süren ayrılmalarda yeni bir koordinatör görevlendirilir.”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3 – </w:t>
                  </w:r>
                  <w:r w:rsidRPr="00544E8F">
                    <w:rPr>
                      <w:rFonts w:ascii="Times New Roman" w:eastAsia="Times New Roman" w:hAnsi="Times New Roman" w:cs="Times New Roman"/>
                      <w:sz w:val="18"/>
                      <w:szCs w:val="18"/>
                      <w:lang w:eastAsia="tr-TR"/>
                    </w:rPr>
                    <w:t>Aynı Yönetmeliğin 20 </w:t>
                  </w:r>
                  <w:proofErr w:type="spellStart"/>
                  <w:r w:rsidRPr="00544E8F">
                    <w:rPr>
                      <w:rFonts w:ascii="Times New Roman" w:eastAsia="Times New Roman" w:hAnsi="Times New Roman" w:cs="Times New Roman"/>
                      <w:sz w:val="18"/>
                      <w:szCs w:val="18"/>
                      <w:lang w:eastAsia="tr-TR"/>
                    </w:rPr>
                    <w:t>nci</w:t>
                  </w:r>
                  <w:proofErr w:type="spellEnd"/>
                  <w:r w:rsidRPr="00544E8F">
                    <w:rPr>
                      <w:rFonts w:ascii="Times New Roman" w:eastAsia="Times New Roman" w:hAnsi="Times New Roman" w:cs="Times New Roman"/>
                      <w:sz w:val="18"/>
                      <w:szCs w:val="18"/>
                      <w:lang w:eastAsia="tr-TR"/>
                    </w:rPr>
                    <w:t> maddesi aşağıdaki şekilde değiştirilmiştir.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20 –</w:t>
                  </w:r>
                  <w:r w:rsidRPr="00544E8F">
                    <w:rPr>
                      <w:rFonts w:ascii="Times New Roman" w:eastAsia="Times New Roman" w:hAnsi="Times New Roman" w:cs="Times New Roman"/>
                      <w:sz w:val="18"/>
                      <w:szCs w:val="18"/>
                      <w:lang w:eastAsia="tr-TR"/>
                    </w:rPr>
                    <w:t> Pratik (Laboratuvar çalışması, tartışma, seminer, saha ve klinik çalışmaları) ve teorik derslere devam zorunlu olup, yoklama derse katılan öğrencilerin imzası alınarak yapılır. Pratik derslerin % 15’inden fazlasına mazeretsiz olarak katılmayan öğrenci o ders veya derslerin hiçbir sınavına alınamaz ve “F1” notu alır.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Pratik derslerin % 15’inden fazlasına devam etmeyen ve mazereti Fakülte Yönetim Kurulunca kabul edilen öğrenci o derse veya derslerin hiçbir sınavına alınamaz ve “E” notu alır.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Devamsızlık oranının % 15’i geçmediği durumlarda; öğrenci devam etmediği pratik çalışmaları, anabilim dalı başkanı gerekli gördüğü takdirde, ilan edilen gün ve saatte telafi etmek zorundadır.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Teorik derslerin % 25’inden fazlasına mazeretsiz olarak devam etmeyen öğrenci o ders veya derslerin hiçbir sınavına alınmaz ve F1 notu alır. Teorik derslerin % 25’inden fazlasına devam etmeyen ve mazereti Tıp Fakültesi Yönetim Kurulunca kabul edilen öğrenci o ders veya derslerin hiçbir sınavına alınmaz, mazeretli olarak kalır ve “E” notu alır.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“E” notu alarak sınıfta kalan öğrencinin kaybettiği süre Fakülteden mezun olmak için zorunlu olan 12. maddede belirtilmiş sürelerin hesaplanmasında dikkate alınmaz.</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Öğrencilerin birinci, ikinci ve üçüncü sınıflarda yapılan ders kurulu sınavlarına girebilmesi için o ders kurulunda; bu Yönetmelikte yer alan şekliyle devam şartını yerine getirmiş olması zorunludur.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lastRenderedPageBreak/>
                    <w:t>Birinci, ikinci ve üçüncü sınıflarda öğrencilerin yarıyıl sonu sınavlarına girebilmesi için o yarıyıl içerisinde; bütünleme sınavlarına girebilmesi için yıl içerisinde devam etmiş olduğu ders kurullarındaki toplam ders saati dikkate alınarak bu Yönetmelikte yer alan şekli ile devam koşullarına uymuş olmaları gerekir.”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4 – </w:t>
                  </w:r>
                  <w:r w:rsidRPr="00544E8F">
                    <w:rPr>
                      <w:rFonts w:ascii="Times New Roman" w:eastAsia="Times New Roman" w:hAnsi="Times New Roman" w:cs="Times New Roman"/>
                      <w:sz w:val="18"/>
                      <w:szCs w:val="18"/>
                      <w:lang w:eastAsia="tr-TR"/>
                    </w:rPr>
                    <w:t>Aynı Yönetmeliğin 20/A maddesi aşağıdaki şekilde değiştirilmiştir.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20/A –</w:t>
                  </w:r>
                  <w:r w:rsidRPr="00544E8F">
                    <w:rPr>
                      <w:rFonts w:ascii="Times New Roman" w:eastAsia="Times New Roman" w:hAnsi="Times New Roman" w:cs="Times New Roman"/>
                      <w:sz w:val="18"/>
                      <w:szCs w:val="18"/>
                      <w:lang w:eastAsia="tr-TR"/>
                    </w:rPr>
                    <w:t> Ortak zorunlu dersler ile seçmeli derslerde öğrencilerin yılsonu genel ve bütünleme sınavlarına girebilmeleri için, yıl içerisinde bu derslerden mazeretsiz devamsızlıklarının % 25’in üzerinde olmaması gerekir. Mazeretsiz devamsızlık oranı % 25’i aşan öğrenciler, o yıl için o ders veya derslerden başarısız kabul edilir.”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5 – </w:t>
                  </w:r>
                  <w:r w:rsidRPr="00544E8F">
                    <w:rPr>
                      <w:rFonts w:ascii="Times New Roman" w:eastAsia="Times New Roman" w:hAnsi="Times New Roman" w:cs="Times New Roman"/>
                      <w:sz w:val="18"/>
                      <w:szCs w:val="18"/>
                      <w:lang w:eastAsia="tr-TR"/>
                    </w:rPr>
                    <w:t>Aynı Yönetmeliğin 23 üncü maddesi aşağıdaki şekilde değiştirilmiştir.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23 </w:t>
                  </w:r>
                  <w:r w:rsidRPr="00544E8F">
                    <w:rPr>
                      <w:rFonts w:ascii="Times New Roman" w:eastAsia="Times New Roman" w:hAnsi="Times New Roman" w:cs="Times New Roman"/>
                      <w:sz w:val="18"/>
                      <w:szCs w:val="18"/>
                      <w:lang w:eastAsia="tr-TR"/>
                    </w:rPr>
                    <w:t>– Tıp Fakültesinde sınavlar 100 puan üzerinden değerlendirilir. Bunların derece karşılığı aşağıda gösterilmiştir: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Puanlar           Dereceler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85-100            Pekiyi</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75-84              İyi</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60-74              Orta</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0-59                Başarısız</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Özel Durumları Belirtilen Notlar: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F1: Mazeretsiz devamsız, bütünleme sınavına ve/veya yarıyıl sonu sınavı/sınavlarına girme hakkı yok.</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F2: Sınava girme hakkı olduğu halde sınava girmedi.</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F3: Kopya.</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E: Mazeretli devamsız, geçmez.</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G: Geçer (Başarılı, Yeterli).”</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6 –</w:t>
                  </w:r>
                  <w:r w:rsidRPr="00544E8F">
                    <w:rPr>
                      <w:rFonts w:ascii="Times New Roman" w:eastAsia="Times New Roman" w:hAnsi="Times New Roman" w:cs="Times New Roman"/>
                      <w:sz w:val="18"/>
                      <w:szCs w:val="18"/>
                      <w:lang w:eastAsia="tr-TR"/>
                    </w:rPr>
                    <w:t> Aynı Yönetmeliğin 24/A maddesi aşağıdaki şekilde değiştirilmiştir.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24/A – </w:t>
                  </w:r>
                  <w:r w:rsidRPr="00544E8F">
                    <w:rPr>
                      <w:rFonts w:ascii="Times New Roman" w:eastAsia="Times New Roman" w:hAnsi="Times New Roman" w:cs="Times New Roman"/>
                      <w:sz w:val="18"/>
                      <w:szCs w:val="18"/>
                      <w:lang w:eastAsia="tr-TR"/>
                    </w:rPr>
                    <w:t>Küçük grup uygulamalarının ders kurulu sınavından alınan not, Fakülte Kurulunca onaylanan ders kurulu kredisi ile çarpılarak bu Yönetmeliğin 28 inci maddesinde belirtilen ağırlıklı not ortalaması hesabına katılır.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Küçük grup uygulaması ders kurulu sınavı her ders kurulunun sonunda yapılır. Küçük grup uygulaması ders kurulu sınavı bölünerek birden fazla aşamalı da yapılabilir. Küçük grup uygulaması ders kurulunda, bu Yönetmeliğin 29 uncu maddesinde belirtilen eksi puan uygulaması yapılmaz. Ayrıca bu Yönetmeliğin 25 inci maddesinde yer alan yarıyıl sonu sınavı ve bu Yönetmeliğin 26 </w:t>
                  </w:r>
                  <w:proofErr w:type="spellStart"/>
                  <w:r w:rsidRPr="00544E8F">
                    <w:rPr>
                      <w:rFonts w:ascii="Times New Roman" w:eastAsia="Times New Roman" w:hAnsi="Times New Roman" w:cs="Times New Roman"/>
                      <w:sz w:val="18"/>
                      <w:szCs w:val="18"/>
                      <w:lang w:eastAsia="tr-TR"/>
                    </w:rPr>
                    <w:t>ncı</w:t>
                  </w:r>
                  <w:proofErr w:type="spellEnd"/>
                  <w:r w:rsidRPr="00544E8F">
                    <w:rPr>
                      <w:rFonts w:ascii="Times New Roman" w:eastAsia="Times New Roman" w:hAnsi="Times New Roman" w:cs="Times New Roman"/>
                      <w:sz w:val="18"/>
                      <w:szCs w:val="18"/>
                      <w:lang w:eastAsia="tr-TR"/>
                    </w:rPr>
                    <w:t> maddesinde yer alan bütünleme sınavı kapsamına küçük grup uygulaması ders kurulu </w:t>
                  </w:r>
                  <w:proofErr w:type="gramStart"/>
                  <w:r w:rsidRPr="00544E8F">
                    <w:rPr>
                      <w:rFonts w:ascii="Times New Roman" w:eastAsia="Times New Roman" w:hAnsi="Times New Roman" w:cs="Times New Roman"/>
                      <w:sz w:val="18"/>
                      <w:szCs w:val="18"/>
                      <w:lang w:eastAsia="tr-TR"/>
                    </w:rPr>
                    <w:t>dahil</w:t>
                  </w:r>
                  <w:proofErr w:type="gramEnd"/>
                  <w:r w:rsidRPr="00544E8F">
                    <w:rPr>
                      <w:rFonts w:ascii="Times New Roman" w:eastAsia="Times New Roman" w:hAnsi="Times New Roman" w:cs="Times New Roman"/>
                      <w:sz w:val="18"/>
                      <w:szCs w:val="18"/>
                      <w:lang w:eastAsia="tr-TR"/>
                    </w:rPr>
                    <w:t> edilmez.”</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7 –</w:t>
                  </w:r>
                  <w:r w:rsidRPr="00544E8F">
                    <w:rPr>
                      <w:rFonts w:ascii="Times New Roman" w:eastAsia="Times New Roman" w:hAnsi="Times New Roman" w:cs="Times New Roman"/>
                      <w:sz w:val="18"/>
                      <w:szCs w:val="18"/>
                      <w:lang w:eastAsia="tr-TR"/>
                    </w:rPr>
                    <w:t> Aynı Yönetmeliğin 25 inci maddesi başlığıyla birlikte aşağıdaki şekilde değiştirilmiştir.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“Yarıyıl sonu sınavı</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lastRenderedPageBreak/>
                    <w:t>MADDE 25 –</w:t>
                  </w:r>
                  <w:r w:rsidRPr="00544E8F">
                    <w:rPr>
                      <w:rFonts w:ascii="Times New Roman" w:eastAsia="Times New Roman" w:hAnsi="Times New Roman" w:cs="Times New Roman"/>
                      <w:sz w:val="18"/>
                      <w:szCs w:val="18"/>
                      <w:lang w:eastAsia="tr-TR"/>
                    </w:rPr>
                    <w:t> Yarıyıl sonu sınavı, bir öğretim yarıyılı sonunda son ders kurulu sınavının bitiminden en erken 14 gün en geç 18 gün sonra yapılan, o yarıyılda tamamlanmış bütün ders kurullarını kapsayan sınavdır. Ara sınavlarda uygulanan kurallar yarıyıl sonu sınavı için de geçerlidir.”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8 –</w:t>
                  </w:r>
                  <w:r w:rsidRPr="00544E8F">
                    <w:rPr>
                      <w:rFonts w:ascii="Times New Roman" w:eastAsia="Times New Roman" w:hAnsi="Times New Roman" w:cs="Times New Roman"/>
                      <w:sz w:val="18"/>
                      <w:szCs w:val="18"/>
                      <w:lang w:eastAsia="tr-TR"/>
                    </w:rPr>
                    <w:t> Aynı Yönetmeliğin 26 </w:t>
                  </w:r>
                  <w:proofErr w:type="spellStart"/>
                  <w:r w:rsidRPr="00544E8F">
                    <w:rPr>
                      <w:rFonts w:ascii="Times New Roman" w:eastAsia="Times New Roman" w:hAnsi="Times New Roman" w:cs="Times New Roman"/>
                      <w:sz w:val="18"/>
                      <w:szCs w:val="18"/>
                      <w:lang w:eastAsia="tr-TR"/>
                    </w:rPr>
                    <w:t>ncı</w:t>
                  </w:r>
                  <w:proofErr w:type="spellEnd"/>
                  <w:r w:rsidRPr="00544E8F">
                    <w:rPr>
                      <w:rFonts w:ascii="Times New Roman" w:eastAsia="Times New Roman" w:hAnsi="Times New Roman" w:cs="Times New Roman"/>
                      <w:sz w:val="18"/>
                      <w:szCs w:val="18"/>
                      <w:lang w:eastAsia="tr-TR"/>
                    </w:rPr>
                    <w:t> maddesi aşağıdaki şekilde değiştirilmiştir.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26 –</w:t>
                  </w:r>
                  <w:r w:rsidRPr="00544E8F">
                    <w:rPr>
                      <w:rFonts w:ascii="Times New Roman" w:eastAsia="Times New Roman" w:hAnsi="Times New Roman" w:cs="Times New Roman"/>
                      <w:sz w:val="18"/>
                      <w:szCs w:val="18"/>
                      <w:lang w:eastAsia="tr-TR"/>
                    </w:rPr>
                    <w:t> Bütünleme sınavı, birinci, ikinci ve üçüncü sınıflarda ikinci yarıyıl sonu sınavı tarihinden en erken 15 gün sonra yapılan ve her iki yarıyıl derslerini kapsayan; 4 ve 5 inci sınıflarda her bir staj için son staj bitim tarihinden en erken 15 gün sonra yapılan sınavdır.”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9 –</w:t>
                  </w:r>
                  <w:r w:rsidRPr="00544E8F">
                    <w:rPr>
                      <w:rFonts w:ascii="Times New Roman" w:eastAsia="Times New Roman" w:hAnsi="Times New Roman" w:cs="Times New Roman"/>
                      <w:sz w:val="18"/>
                      <w:szCs w:val="18"/>
                      <w:lang w:eastAsia="tr-TR"/>
                    </w:rPr>
                    <w:t> Aynı Yönetmeliğin 28 inci maddesinin (a) bendi aşağıdaki şekilde değiştirilmiştir, (b) bendi ise yürürlükten kaldırılmıştır.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 a) Birinci, ikinci ve üçüncü sınıfların sınav sonuçları 100 tam puan üzerinden değerlendirilir. Başarı notu öğrencinin ders kurullarından almış olduğu notların ağırlıklı ortalamasının % 50’sine, her iki yarıyıl sonu sınavı ağırlıklı ortalamasının veya bütünleme sınavı notunun % 50’sinin eklenmesi ile hesaplanır. Öğrencinin başarılı sayılabilmesi için bu notun en az 60 olması gerekir. Birinci, ikinci ve üçüncü sınıfların teorik ve pratik sınav uygulanarak yapılan sınavlarında; teorik ve pratik sınavları, teorik ve pratik derslerin ders programı içindeki ağırlıkları dikkate alınarak, toplam 100 puan üzerinden puanlandırılır.”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10 – </w:t>
                  </w:r>
                  <w:r w:rsidRPr="00544E8F">
                    <w:rPr>
                      <w:rFonts w:ascii="Times New Roman" w:eastAsia="Times New Roman" w:hAnsi="Times New Roman" w:cs="Times New Roman"/>
                      <w:sz w:val="18"/>
                      <w:szCs w:val="18"/>
                      <w:lang w:eastAsia="tr-TR"/>
                    </w:rPr>
                    <w:t>Aynı Yönetmeliğin 28/A maddesi aşağıdaki şekilde değiştirilmiştir.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28/A –</w:t>
                  </w:r>
                  <w:r w:rsidRPr="00544E8F">
                    <w:rPr>
                      <w:rFonts w:ascii="Times New Roman" w:eastAsia="Times New Roman" w:hAnsi="Times New Roman" w:cs="Times New Roman"/>
                      <w:sz w:val="18"/>
                      <w:szCs w:val="18"/>
                      <w:lang w:eastAsia="tr-TR"/>
                    </w:rPr>
                    <w:t> Ağırlıklı not ortalaması; ders kurulları veya stajlardan alınan notların Fakülte Kurulunca onaylanan ders kurulu veya staj kredisi ile ayrı ayrı çarpılarak toplanması ve elde edilen toplamın o yıla ait ders kurullarının veya stajların toplam kredi sayısına bölünmesiyle elde edilir. Her iki yarıyıl sonu sınavının ağırlıklı ortalaması hesap edilirken yine yarıyıldaki ders kurullarının kredileri toplamı dikkate alınır.”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11 –</w:t>
                  </w:r>
                  <w:r w:rsidRPr="00544E8F">
                    <w:rPr>
                      <w:rFonts w:ascii="Times New Roman" w:eastAsia="Times New Roman" w:hAnsi="Times New Roman" w:cs="Times New Roman"/>
                      <w:sz w:val="18"/>
                      <w:szCs w:val="18"/>
                      <w:lang w:eastAsia="tr-TR"/>
                    </w:rPr>
                    <w:t> Aynı Yönetmeliğin 29 uncu maddesi aşağıdaki şekilde değiştirilmiştir.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29 –</w:t>
                  </w:r>
                  <w:r w:rsidRPr="00544E8F">
                    <w:rPr>
                      <w:rFonts w:ascii="Times New Roman" w:eastAsia="Times New Roman" w:hAnsi="Times New Roman" w:cs="Times New Roman"/>
                      <w:sz w:val="18"/>
                      <w:szCs w:val="18"/>
                      <w:lang w:eastAsia="tr-TR"/>
                    </w:rPr>
                    <w:t> Birinci, ikinci ve üçüncü sınıflarda yapılan bir sınav kapsamındaki bütün </w:t>
                  </w:r>
                  <w:proofErr w:type="gramStart"/>
                  <w:r w:rsidRPr="00544E8F">
                    <w:rPr>
                      <w:rFonts w:ascii="Times New Roman" w:eastAsia="Times New Roman" w:hAnsi="Times New Roman" w:cs="Times New Roman"/>
                      <w:sz w:val="18"/>
                      <w:szCs w:val="18"/>
                      <w:lang w:eastAsia="tr-TR"/>
                    </w:rPr>
                    <w:t>branşlardan</w:t>
                  </w:r>
                  <w:proofErr w:type="gramEnd"/>
                  <w:r w:rsidRPr="00544E8F">
                    <w:rPr>
                      <w:rFonts w:ascii="Times New Roman" w:eastAsia="Times New Roman" w:hAnsi="Times New Roman" w:cs="Times New Roman"/>
                      <w:sz w:val="18"/>
                      <w:szCs w:val="18"/>
                      <w:lang w:eastAsia="tr-TR"/>
                    </w:rPr>
                    <w:t> elde edilen puanların toplamı o sınavın başarı notunu tayin eder. Ancak, ders kurulu, </w:t>
                  </w:r>
                  <w:proofErr w:type="gramStart"/>
                  <w:r w:rsidRPr="00544E8F">
                    <w:rPr>
                      <w:rFonts w:ascii="Times New Roman" w:eastAsia="Times New Roman" w:hAnsi="Times New Roman" w:cs="Times New Roman"/>
                      <w:sz w:val="18"/>
                      <w:szCs w:val="18"/>
                      <w:lang w:eastAsia="tr-TR"/>
                    </w:rPr>
                    <w:t>yarı yıl</w:t>
                  </w:r>
                  <w:proofErr w:type="gramEnd"/>
                  <w:r w:rsidRPr="00544E8F">
                    <w:rPr>
                      <w:rFonts w:ascii="Times New Roman" w:eastAsia="Times New Roman" w:hAnsi="Times New Roman" w:cs="Times New Roman"/>
                      <w:sz w:val="18"/>
                      <w:szCs w:val="18"/>
                      <w:lang w:eastAsia="tr-TR"/>
                    </w:rPr>
                    <w:t> sonu sınavı veya bütünleme sınavında, öğrenci sınav kapsamındaki derslerin bir veya birkaçından % 50’nin altında not alırsa o dersten elde ettiği puan ile o dersin toplam puanının % 50’si arasındaki puan farkı, sınav toplam puanından düşülür. Eksi puan hesaplamasında her bir sınav oturumu için, soru sayısı toplam soru sayısının % 5’i ve aşağısında olan derslerin soruları birleştirilerek toplu olarak işlem yapılır.”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12 –</w:t>
                  </w:r>
                  <w:r w:rsidRPr="00544E8F">
                    <w:rPr>
                      <w:rFonts w:ascii="Times New Roman" w:eastAsia="Times New Roman" w:hAnsi="Times New Roman" w:cs="Times New Roman"/>
                      <w:sz w:val="18"/>
                      <w:szCs w:val="18"/>
                      <w:lang w:eastAsia="tr-TR"/>
                    </w:rPr>
                    <w:t> Aynı Yönetmeliğin 31 inci maddesi aşağıdaki şekilde değiştirilmiştir.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31 – </w:t>
                  </w:r>
                  <w:r w:rsidRPr="00544E8F">
                    <w:rPr>
                      <w:rFonts w:ascii="Times New Roman" w:eastAsia="Times New Roman" w:hAnsi="Times New Roman" w:cs="Times New Roman"/>
                      <w:sz w:val="18"/>
                      <w:szCs w:val="18"/>
                      <w:lang w:eastAsia="tr-TR"/>
                    </w:rPr>
                    <w:t>Ortak zorunlu derslere ilişkin esaslar şunlardır: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a) Atatürk İlkeleri ve İnkılâp Tarihi, Türk Dili ve yabancı dil dersleri, 60 saatten az olmamak koşuluyla, birinci sınıfta verilir. Ortak zorunlu dersler için her yarıyıl sonunda birer sınav yapılır. Bu derslerin bütünleme sınavı ikinci yarıyılın bitiminde son Ders Kurulu sınavı tarihinden sonra en geç otuz gün içerisinde yapılır. Yabancı dil derslerinde yukarıda belirtilen sınavların dışında öğrencilere tarama (</w:t>
                  </w:r>
                  <w:proofErr w:type="spellStart"/>
                  <w:r w:rsidRPr="00544E8F">
                    <w:rPr>
                      <w:rFonts w:ascii="Times New Roman" w:eastAsia="Times New Roman" w:hAnsi="Times New Roman" w:cs="Times New Roman"/>
                      <w:sz w:val="18"/>
                      <w:szCs w:val="18"/>
                      <w:lang w:eastAsia="tr-TR"/>
                    </w:rPr>
                    <w:t>quiz</w:t>
                  </w:r>
                  <w:proofErr w:type="spellEnd"/>
                  <w:r w:rsidRPr="00544E8F">
                    <w:rPr>
                      <w:rFonts w:ascii="Times New Roman" w:eastAsia="Times New Roman" w:hAnsi="Times New Roman" w:cs="Times New Roman"/>
                      <w:sz w:val="18"/>
                      <w:szCs w:val="18"/>
                      <w:lang w:eastAsia="tr-TR"/>
                    </w:rPr>
                    <w:t>) sınavları ve ödevlerden de not verilebilir. Bu notlar yabancı dil yarıyıl sınav notlarına Fakülte Kurulunca belirlenen oranlarda katılır.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sz w:val="18"/>
                      <w:szCs w:val="18"/>
                      <w:lang w:eastAsia="tr-TR"/>
                    </w:rPr>
                    <w:t>b) Atatürk İlkeleri ve İnkılâp Tarihi, Türk Dili ve yabancı dil derslerinde her iki yarıyıl sınav notlarının aritmetik ortalaması o derslerden alınan başarı notunu belirler. Öğrencinin başarılı sayılabilmesi için başarı notunun 60 olması gerekir.”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13 –</w:t>
                  </w:r>
                  <w:r w:rsidRPr="00544E8F">
                    <w:rPr>
                      <w:rFonts w:ascii="Times New Roman" w:eastAsia="Times New Roman" w:hAnsi="Times New Roman" w:cs="Times New Roman"/>
                      <w:sz w:val="18"/>
                      <w:szCs w:val="18"/>
                      <w:lang w:eastAsia="tr-TR"/>
                    </w:rPr>
                    <w:t> Aynı Yönetmeliğin 31/A maddesi aşağıdaki şekilde değiştirilmiştir.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31/A –</w:t>
                  </w:r>
                  <w:r w:rsidRPr="00544E8F">
                    <w:rPr>
                      <w:rFonts w:ascii="Times New Roman" w:eastAsia="Times New Roman" w:hAnsi="Times New Roman" w:cs="Times New Roman"/>
                      <w:sz w:val="18"/>
                      <w:szCs w:val="18"/>
                      <w:lang w:eastAsia="tr-TR"/>
                    </w:rPr>
                    <w:t xml:space="preserve"> Fakülte Kurulu kararıyla Fakültede ve/veya Üniversitenin diğer fakülte ve/veya yüksekokullarında seçmeli dersler açılabilir. Öğrencinin o dönem açılan seçmeli dersler içerisinden tercihlerini sıralayarak dönemin ilk haftası içinde Dekanlığa bildirmesi gerekir. Öğrenci o dönem değişik alanlarda açılan derslerden en az birini seçmek zorundadır. Yapılan tercihlere göre seçilen derslerdeki öğrenci sayısında diğer ders ya </w:t>
                  </w:r>
                  <w:r w:rsidRPr="00544E8F">
                    <w:rPr>
                      <w:rFonts w:ascii="Times New Roman" w:eastAsia="Times New Roman" w:hAnsi="Times New Roman" w:cs="Times New Roman"/>
                      <w:sz w:val="18"/>
                      <w:szCs w:val="18"/>
                      <w:lang w:eastAsia="tr-TR"/>
                    </w:rPr>
                    <w:lastRenderedPageBreak/>
                    <w:t>da derslere oranla fazlalık olması durumunda öğrenciler daha alt tercihlerine yerleştirilebilir. Seçmeli dersler için her yarıyıl sonunda birer sınav yapılır. Her bir dersin değerlendirmesi ayrı ayrı yapılır. Yarıyıl boyu süren dersler için Yarıyıl sonu sınavı notu, yıl boyu süren dersler için her iki yarıyıl sonu sınavı notu aritmetik ortalaması 60 olan öğrenci ilgili dersten başarılı sayılır. Bu derslerin bütünleme sınavı ikinci yarıyılın bitiminde son ders kurulu sınavı tarihinden sonra en geç otuz gün içerisinde yapılır.”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14 – </w:t>
                  </w:r>
                  <w:r w:rsidRPr="00544E8F">
                    <w:rPr>
                      <w:rFonts w:ascii="Times New Roman" w:eastAsia="Times New Roman" w:hAnsi="Times New Roman" w:cs="Times New Roman"/>
                      <w:sz w:val="18"/>
                      <w:szCs w:val="18"/>
                      <w:lang w:eastAsia="tr-TR"/>
                    </w:rPr>
                    <w:t>Aynı Yönetmeliğin 31/B maddesi aşağıdaki şekilde değiştirilmiştir.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31/B –</w:t>
                  </w:r>
                  <w:r w:rsidRPr="00544E8F">
                    <w:rPr>
                      <w:rFonts w:ascii="Times New Roman" w:eastAsia="Times New Roman" w:hAnsi="Times New Roman" w:cs="Times New Roman"/>
                      <w:sz w:val="18"/>
                      <w:szCs w:val="18"/>
                      <w:lang w:eastAsia="tr-TR"/>
                    </w:rPr>
                    <w:t> İlk üç sınıf için ortak zorunlu ile seçmeli derslerden başarısız olan öğrenciler, bir üst sınıfa devam eder. Ancak stajlara başlamadan önce bu derslerin, bu Yönetmeliğin 31 ve 31/A maddelerinde belirtilen sınavlarına girmek, ayrı ayrı başarılı olmak gerekir. İlk üç sınıfta bu derslerin sınavlarını başaramamış öğrenciler için stajlara başlamadan önce öğretim yılının ilk haftası içerisinde bir telafi sınavı yapılır. Bu sınavda notu 60’ın altında olan öğrenciler başarısız oldukları ortak zorunlu dersler ile seçmeli derslere devam ederek sınavlarına girmek zorundadır. Ortak zorunlu dersler ile seçmeli dersleri başarmış olmak stajlara başlamanın ön şartıdır.”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15 –</w:t>
                  </w:r>
                  <w:r w:rsidRPr="00544E8F">
                    <w:rPr>
                      <w:rFonts w:ascii="Times New Roman" w:eastAsia="Times New Roman" w:hAnsi="Times New Roman" w:cs="Times New Roman"/>
                      <w:sz w:val="18"/>
                      <w:szCs w:val="18"/>
                      <w:lang w:eastAsia="tr-TR"/>
                    </w:rPr>
                    <w:t> Aynı Yönetmeliğin 32 </w:t>
                  </w:r>
                  <w:proofErr w:type="spellStart"/>
                  <w:r w:rsidRPr="00544E8F">
                    <w:rPr>
                      <w:rFonts w:ascii="Times New Roman" w:eastAsia="Times New Roman" w:hAnsi="Times New Roman" w:cs="Times New Roman"/>
                      <w:sz w:val="18"/>
                      <w:szCs w:val="18"/>
                      <w:lang w:eastAsia="tr-TR"/>
                    </w:rPr>
                    <w:t>nci</w:t>
                  </w:r>
                  <w:proofErr w:type="spellEnd"/>
                  <w:r w:rsidRPr="00544E8F">
                    <w:rPr>
                      <w:rFonts w:ascii="Times New Roman" w:eastAsia="Times New Roman" w:hAnsi="Times New Roman" w:cs="Times New Roman"/>
                      <w:sz w:val="18"/>
                      <w:szCs w:val="18"/>
                      <w:lang w:eastAsia="tr-TR"/>
                    </w:rPr>
                    <w:t> maddesi aşağıdaki şekilde değiştirilmiştir.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32 – </w:t>
                  </w:r>
                  <w:r w:rsidRPr="00544E8F">
                    <w:rPr>
                      <w:rFonts w:ascii="Times New Roman" w:eastAsia="Times New Roman" w:hAnsi="Times New Roman" w:cs="Times New Roman"/>
                      <w:sz w:val="18"/>
                      <w:szCs w:val="18"/>
                      <w:lang w:eastAsia="tr-TR"/>
                    </w:rPr>
                    <w:t>Dördüncü ve beşinci sınıflarda yapılan staj sınavlarından bir veya daha fazlasından başarılı olamayan öğrenci o yılın son stajının bitiminden en erken 15 gün sonra bütünleme sınavına/sınavlarına alınır. Bütünleme sınav veya sınavlarında başarılı olamayan öğrenci, bu Yönetmeliğin 12 </w:t>
                  </w:r>
                  <w:proofErr w:type="spellStart"/>
                  <w:r w:rsidRPr="00544E8F">
                    <w:rPr>
                      <w:rFonts w:ascii="Times New Roman" w:eastAsia="Times New Roman" w:hAnsi="Times New Roman" w:cs="Times New Roman"/>
                      <w:sz w:val="18"/>
                      <w:szCs w:val="18"/>
                      <w:lang w:eastAsia="tr-TR"/>
                    </w:rPr>
                    <w:t>nci</w:t>
                  </w:r>
                  <w:proofErr w:type="spellEnd"/>
                  <w:r w:rsidRPr="00544E8F">
                    <w:rPr>
                      <w:rFonts w:ascii="Times New Roman" w:eastAsia="Times New Roman" w:hAnsi="Times New Roman" w:cs="Times New Roman"/>
                      <w:sz w:val="18"/>
                      <w:szCs w:val="18"/>
                      <w:lang w:eastAsia="tr-TR"/>
                    </w:rPr>
                    <w:t> maddesinde belirtilen sürelerle ilgili şartlara uymak koşuluyla bu staj veya stajları tekrarlar. Bu Yönetmeliğin 37 </w:t>
                  </w:r>
                  <w:proofErr w:type="spellStart"/>
                  <w:r w:rsidRPr="00544E8F">
                    <w:rPr>
                      <w:rFonts w:ascii="Times New Roman" w:eastAsia="Times New Roman" w:hAnsi="Times New Roman" w:cs="Times New Roman"/>
                      <w:sz w:val="18"/>
                      <w:szCs w:val="18"/>
                      <w:lang w:eastAsia="tr-TR"/>
                    </w:rPr>
                    <w:t>nci</w:t>
                  </w:r>
                  <w:proofErr w:type="spellEnd"/>
                  <w:r w:rsidRPr="00544E8F">
                    <w:rPr>
                      <w:rFonts w:ascii="Times New Roman" w:eastAsia="Times New Roman" w:hAnsi="Times New Roman" w:cs="Times New Roman"/>
                      <w:sz w:val="18"/>
                      <w:szCs w:val="18"/>
                      <w:lang w:eastAsia="tr-TR"/>
                    </w:rPr>
                    <w:t> maddesinde belirtilen ve öncelikli olarak dördüncü sınıftan kaldığı stajları almak koşuluyla sürenin elvermesi halinde beşinci sınıftan da staj alabilen öğrenciler kendileri talep etmeleri halinde staj sonu yapılan bir sınavda erken bütünleme hakkını kullanabilirler. Ancak, bu şekilde sınava girerek başarısız olan öğrenciler yeniden bütünleme sınavına giremez ve o staj veya stajları tekrarlar.”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16 –</w:t>
                  </w:r>
                  <w:r w:rsidRPr="00544E8F">
                    <w:rPr>
                      <w:rFonts w:ascii="Times New Roman" w:eastAsia="Times New Roman" w:hAnsi="Times New Roman" w:cs="Times New Roman"/>
                      <w:sz w:val="18"/>
                      <w:szCs w:val="18"/>
                      <w:lang w:eastAsia="tr-TR"/>
                    </w:rPr>
                    <w:t> Aynı Yönetmeliğin 41 inci maddesi aşağıdaki şekilde değiştirilmiştir.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41 –</w:t>
                  </w:r>
                  <w:r w:rsidRPr="00544E8F">
                    <w:rPr>
                      <w:rFonts w:ascii="Times New Roman" w:eastAsia="Times New Roman" w:hAnsi="Times New Roman" w:cs="Times New Roman"/>
                      <w:sz w:val="18"/>
                      <w:szCs w:val="18"/>
                      <w:lang w:eastAsia="tr-TR"/>
                    </w:rPr>
                    <w:t> Mazereti nedeniyle herhangi bir ders kurulu sınavına giremeyen öğrenciler, haklı ve geçerli mazeretlerinin bitiminden itibaren beş işgünü içerisinde mazeret belgesiyle birlikte dekanlığa yazılı başvuruda bulunabilirler. Fakülte yönetim kurulunca mazereti kabul edilenler, ders kurulu sınav haklarını aynı yıl içinde dekanlıkça belirlenen gün, yer ve saatte kullanırlar. Mazeret sınavları için ikinci bir mazeret sınavı hakkı verilmez. Öğrencinin katılmadığı ortak zorunlu ve seçmeli derslerin sınavları, her iki yarıyıl son ders kurulu sınavları, yarıyıl sonu sınavları ve yılsonu bütünleme sınavı ile staj sonu ve staj bütünleme sınavları için mazeret sınavı açılmaz. Ancak Ülkemizi veya Üniversitemizi temsil etmek şartıyla ulusal ve uluslararası bilimsel, sosyal, kültürel ve sportif etkinliklere katılan öğrenciler için Fakülte Yönetim Kurulunca girilmeyen sınavlar için mazeret sınavı açılabilir.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544E8F">
                    <w:rPr>
                      <w:rFonts w:ascii="Times New Roman" w:eastAsia="Times New Roman" w:hAnsi="Times New Roman" w:cs="Times New Roman"/>
                      <w:sz w:val="18"/>
                      <w:szCs w:val="18"/>
                      <w:lang w:eastAsia="tr-TR"/>
                    </w:rPr>
                    <w:t>Sağlık mazereti nedeniyle ders kurulu sınavına/sınavlarına giremeyen öğrencilerden sağlık raporu getirecek olanların; acil durumlarda hastanelerin acil servislerinden aldıkları raporlar dışındaki raporların Diyarbakır İli hudutları dâhilinde Üniversite Hastanesi veya Sağlık Bakanlığına bağlı yataklı tedavi kurumlarından, Diyarbakır İli hudutları dışında alınan raporların ise mahallin en üst dereceli sağlık kuruluşundan alınmış olması gerekir. </w:t>
                  </w:r>
                  <w:proofErr w:type="gramEnd"/>
                  <w:r w:rsidRPr="00544E8F">
                    <w:rPr>
                      <w:rFonts w:ascii="Times New Roman" w:eastAsia="Times New Roman" w:hAnsi="Times New Roman" w:cs="Times New Roman"/>
                      <w:sz w:val="18"/>
                      <w:szCs w:val="18"/>
                      <w:lang w:eastAsia="tr-TR"/>
                    </w:rPr>
                    <w:t>Öğrenci, rapor süresince devamsız sayılır. Rapor süresince öğrenci sınavlara giremez, girmiş ise sınavı geçersiz sayılır.”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17 –</w:t>
                  </w:r>
                  <w:r w:rsidRPr="00544E8F">
                    <w:rPr>
                      <w:rFonts w:ascii="Times New Roman" w:eastAsia="Times New Roman" w:hAnsi="Times New Roman" w:cs="Times New Roman"/>
                      <w:sz w:val="18"/>
                      <w:szCs w:val="18"/>
                      <w:lang w:eastAsia="tr-TR"/>
                    </w:rPr>
                    <w:t> Aynı Yönetmeliğin 42 </w:t>
                  </w:r>
                  <w:proofErr w:type="spellStart"/>
                  <w:r w:rsidRPr="00544E8F">
                    <w:rPr>
                      <w:rFonts w:ascii="Times New Roman" w:eastAsia="Times New Roman" w:hAnsi="Times New Roman" w:cs="Times New Roman"/>
                      <w:sz w:val="18"/>
                      <w:szCs w:val="18"/>
                      <w:lang w:eastAsia="tr-TR"/>
                    </w:rPr>
                    <w:t>nci</w:t>
                  </w:r>
                  <w:proofErr w:type="spellEnd"/>
                  <w:r w:rsidRPr="00544E8F">
                    <w:rPr>
                      <w:rFonts w:ascii="Times New Roman" w:eastAsia="Times New Roman" w:hAnsi="Times New Roman" w:cs="Times New Roman"/>
                      <w:sz w:val="18"/>
                      <w:szCs w:val="18"/>
                      <w:lang w:eastAsia="tr-TR"/>
                    </w:rPr>
                    <w:t> maddesinin (b) bendi yürürlükten kaldırılmıştır.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18 – </w:t>
                  </w:r>
                  <w:r w:rsidRPr="00544E8F">
                    <w:rPr>
                      <w:rFonts w:ascii="Times New Roman" w:eastAsia="Times New Roman" w:hAnsi="Times New Roman" w:cs="Times New Roman"/>
                      <w:sz w:val="18"/>
                      <w:szCs w:val="18"/>
                      <w:lang w:eastAsia="tr-TR"/>
                    </w:rPr>
                    <w:t>Aynı Yönetmeliğe aşağıdaki geçici 3 ve 4 üncü maddeler eklenmiştir.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“İstisna</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GEÇİCİ MADDE 3 – </w:t>
                  </w:r>
                  <w:r w:rsidRPr="00544E8F">
                    <w:rPr>
                      <w:rFonts w:ascii="Times New Roman" w:eastAsia="Times New Roman" w:hAnsi="Times New Roman" w:cs="Times New Roman"/>
                      <w:sz w:val="18"/>
                      <w:szCs w:val="18"/>
                      <w:lang w:eastAsia="tr-TR"/>
                    </w:rPr>
                    <w:t>2014-2015 Öğretim Yılından önceki yıllara ait başarı notu; bu Yönetmelikle değiştirilen Yönetmeliğin 28 inci maddesinin birinci fıkrasının (a) bendinin önceki halinde belirtilen hesaplama yöntemiyle belirlenir.”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“Yılsonu genel sınavına girmemiş olan öğrencilerin notları</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lastRenderedPageBreak/>
                    <w:t>GEÇİCİ MADDE 4 – </w:t>
                  </w:r>
                  <w:r w:rsidRPr="00544E8F">
                    <w:rPr>
                      <w:rFonts w:ascii="Times New Roman" w:eastAsia="Times New Roman" w:hAnsi="Times New Roman" w:cs="Times New Roman"/>
                      <w:sz w:val="18"/>
                      <w:szCs w:val="18"/>
                      <w:lang w:eastAsia="tr-TR"/>
                    </w:rPr>
                    <w:t>2014-2015 Öğretim Yılından önceki yıllarda ders kurulları sınavları ağırlıklı not ortalaması 80 veya üzeri olduğu için yılsonu genel sınavına girmemiş olan öğrencilerin bu notları o yıla/yıllara ait başarı notu olarak değerlendirilir.”</w:t>
                  </w:r>
                </w:p>
                <w:p w:rsidR="00544E8F" w:rsidRPr="00544E8F" w:rsidRDefault="00544E8F"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44E8F">
                    <w:rPr>
                      <w:rFonts w:ascii="Times New Roman" w:eastAsia="Times New Roman" w:hAnsi="Times New Roman" w:cs="Times New Roman"/>
                      <w:b/>
                      <w:bCs/>
                      <w:sz w:val="18"/>
                      <w:szCs w:val="18"/>
                      <w:lang w:eastAsia="tr-TR"/>
                    </w:rPr>
                    <w:t>MADDE 19 –</w:t>
                  </w:r>
                  <w:r w:rsidRPr="00544E8F">
                    <w:rPr>
                      <w:rFonts w:ascii="Times New Roman" w:eastAsia="Times New Roman" w:hAnsi="Times New Roman" w:cs="Times New Roman"/>
                      <w:sz w:val="18"/>
                      <w:szCs w:val="18"/>
                      <w:lang w:eastAsia="tr-TR"/>
                    </w:rPr>
                    <w:t> Bu Yönetmelik 2014-2015 Öğretim Yılı başında yürürlüğe girer.</w:t>
                  </w:r>
                </w:p>
                <w:p w:rsidR="00544E8F" w:rsidRDefault="00544E8F" w:rsidP="00544E8F">
                  <w:pPr>
                    <w:spacing w:before="100" w:beforeAutospacing="1" w:after="100" w:afterAutospacing="1" w:line="240" w:lineRule="atLeast"/>
                    <w:ind w:firstLine="566"/>
                    <w:rPr>
                      <w:rFonts w:ascii="Times New Roman" w:eastAsia="Times New Roman" w:hAnsi="Times New Roman" w:cs="Times New Roman"/>
                      <w:sz w:val="18"/>
                      <w:szCs w:val="18"/>
                      <w:lang w:eastAsia="tr-TR"/>
                    </w:rPr>
                  </w:pPr>
                  <w:r w:rsidRPr="00544E8F">
                    <w:rPr>
                      <w:rFonts w:ascii="Times New Roman" w:eastAsia="Times New Roman" w:hAnsi="Times New Roman" w:cs="Times New Roman"/>
                      <w:b/>
                      <w:bCs/>
                      <w:sz w:val="18"/>
                      <w:szCs w:val="18"/>
                      <w:lang w:eastAsia="tr-TR"/>
                    </w:rPr>
                    <w:t>MADDE 20 –</w:t>
                  </w:r>
                  <w:r w:rsidRPr="00544E8F">
                    <w:rPr>
                      <w:rFonts w:ascii="Times New Roman" w:eastAsia="Times New Roman" w:hAnsi="Times New Roman" w:cs="Times New Roman"/>
                      <w:sz w:val="18"/>
                      <w:szCs w:val="18"/>
                      <w:lang w:eastAsia="tr-TR"/>
                    </w:rPr>
                    <w:t> Bu Yönetmelik hükümlerini Dicle Üniversitesi Rektörü yürütür.</w:t>
                  </w:r>
                </w:p>
                <w:p w:rsidR="008A47FC" w:rsidRDefault="008A47FC" w:rsidP="00544E8F">
                  <w:pPr>
                    <w:spacing w:before="100" w:beforeAutospacing="1" w:after="100" w:afterAutospacing="1" w:line="240" w:lineRule="atLeast"/>
                    <w:ind w:firstLine="566"/>
                    <w:rPr>
                      <w:rFonts w:ascii="Times New Roman" w:eastAsia="Times New Roman" w:hAnsi="Times New Roman" w:cs="Times New Roman"/>
                      <w:sz w:val="18"/>
                      <w:szCs w:val="18"/>
                      <w:lang w:eastAsia="tr-TR"/>
                    </w:rPr>
                  </w:pPr>
                </w:p>
                <w:tbl>
                  <w:tblPr>
                    <w:tblpPr w:leftFromText="180" w:rightFromText="180" w:vertAnchor="page" w:horzAnchor="margin" w:tblpY="2701"/>
                    <w:tblOverlap w:val="never"/>
                    <w:tblW w:w="0" w:type="auto"/>
                    <w:tblLook w:val="04A0" w:firstRow="1" w:lastRow="0" w:firstColumn="1" w:lastColumn="0" w:noHBand="0" w:noVBand="1"/>
                  </w:tblPr>
                  <w:tblGrid>
                    <w:gridCol w:w="4041"/>
                    <w:gridCol w:w="4516"/>
                  </w:tblGrid>
                  <w:tr w:rsidR="008A47FC" w:rsidTr="008A47FC">
                    <w:trPr>
                      <w:trHeight w:hRule="exact" w:val="285"/>
                    </w:trPr>
                    <w:tc>
                      <w:tcPr>
                        <w:tcW w:w="8557"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Pr="00AB7FEE" w:rsidRDefault="008A47FC" w:rsidP="008A47FC">
                        <w:pPr>
                          <w:spacing w:after="0" w:line="277" w:lineRule="exact"/>
                          <w:ind w:left="2414" w:right="-239"/>
                          <w:rPr>
                            <w:b/>
                          </w:rPr>
                        </w:pPr>
                        <w:bookmarkStart w:id="1" w:name="1"/>
                        <w:bookmarkEnd w:id="1"/>
                        <w:r w:rsidRPr="00AB7FEE">
                          <w:rPr>
                            <w:rFonts w:ascii="Times New Roman" w:hAnsi="Times New Roman" w:cs="Times New Roman"/>
                            <w:b/>
                            <w:noProof/>
                            <w:color w:val="000000"/>
                            <w:spacing w:val="-3"/>
                            <w:w w:val="95"/>
                            <w:sz w:val="24"/>
                          </w:rPr>
                          <w:t>Yöne</w:t>
                        </w:r>
                        <w:r w:rsidRPr="00AB7FEE">
                          <w:rPr>
                            <w:rFonts w:ascii="Times New Roman" w:hAnsi="Times New Roman" w:cs="Times New Roman"/>
                            <w:b/>
                            <w:noProof/>
                            <w:color w:val="000000"/>
                            <w:spacing w:val="-2"/>
                            <w:sz w:val="24"/>
                          </w:rPr>
                          <w:t>tmeliğin</w:t>
                        </w:r>
                        <w:r w:rsidRPr="00AB7FEE">
                          <w:rPr>
                            <w:rFonts w:ascii="Calibri" w:hAnsi="Calibri" w:cs="Calibri"/>
                            <w:b/>
                            <w:noProof/>
                            <w:color w:val="000000"/>
                            <w:spacing w:val="3"/>
                            <w:sz w:val="24"/>
                          </w:rPr>
                          <w:t> </w:t>
                        </w:r>
                        <w:r w:rsidRPr="00AB7FEE">
                          <w:rPr>
                            <w:rFonts w:ascii="Times New Roman" w:hAnsi="Times New Roman" w:cs="Times New Roman"/>
                            <w:b/>
                            <w:noProof/>
                            <w:color w:val="000000"/>
                            <w:spacing w:val="-3"/>
                            <w:w w:val="95"/>
                            <w:sz w:val="24"/>
                          </w:rPr>
                          <w:t>Kabul</w:t>
                        </w:r>
                        <w:r w:rsidRPr="00AB7FEE">
                          <w:rPr>
                            <w:rFonts w:ascii="Calibri" w:hAnsi="Calibri" w:cs="Calibri"/>
                            <w:b/>
                            <w:noProof/>
                            <w:color w:val="000000"/>
                            <w:spacing w:val="3"/>
                            <w:sz w:val="24"/>
                          </w:rPr>
                          <w:t> </w:t>
                        </w:r>
                        <w:r w:rsidRPr="00AB7FEE">
                          <w:rPr>
                            <w:rFonts w:ascii="Times New Roman" w:hAnsi="Times New Roman" w:cs="Times New Roman"/>
                            <w:b/>
                            <w:noProof/>
                            <w:color w:val="000000"/>
                            <w:spacing w:val="-2"/>
                            <w:w w:val="95"/>
                            <w:sz w:val="24"/>
                          </w:rPr>
                          <w:t>Edildiği</w:t>
                        </w:r>
                        <w:r w:rsidRPr="00AB7FEE">
                          <w:rPr>
                            <w:rFonts w:ascii="Calibri" w:hAnsi="Calibri" w:cs="Calibri"/>
                            <w:b/>
                            <w:noProof/>
                            <w:color w:val="000000"/>
                            <w:spacing w:val="3"/>
                            <w:sz w:val="24"/>
                          </w:rPr>
                          <w:t> </w:t>
                        </w:r>
                        <w:r w:rsidRPr="00AB7FEE">
                          <w:rPr>
                            <w:rFonts w:ascii="Times New Roman" w:hAnsi="Times New Roman" w:cs="Times New Roman"/>
                            <w:b/>
                            <w:noProof/>
                            <w:color w:val="000000"/>
                            <w:spacing w:val="-3"/>
                            <w:w w:val="95"/>
                            <w:sz w:val="24"/>
                          </w:rPr>
                          <w:t>Senato’</w:t>
                        </w:r>
                        <w:r w:rsidRPr="00AB7FEE">
                          <w:rPr>
                            <w:rFonts w:ascii="Calibri" w:hAnsi="Calibri" w:cs="Calibri"/>
                            <w:b/>
                            <w:noProof/>
                            <w:color w:val="000000"/>
                            <w:spacing w:val="3"/>
                            <w:sz w:val="24"/>
                          </w:rPr>
                          <w:t> </w:t>
                        </w:r>
                        <w:r w:rsidRPr="00AB7FEE">
                          <w:rPr>
                            <w:rFonts w:ascii="Times New Roman" w:hAnsi="Times New Roman" w:cs="Times New Roman"/>
                            <w:b/>
                            <w:noProof/>
                            <w:color w:val="000000"/>
                            <w:spacing w:val="-3"/>
                            <w:w w:val="95"/>
                            <w:sz w:val="24"/>
                          </w:rPr>
                          <w:t>nun</w:t>
                        </w:r>
                      </w:p>
                    </w:tc>
                  </w:tr>
                  <w:tr w:rsidR="008A47FC" w:rsidTr="008A47FC">
                    <w:trPr>
                      <w:trHeight w:hRule="exact" w:val="288"/>
                    </w:trPr>
                    <w:tc>
                      <w:tcPr>
                        <w:tcW w:w="40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after="0" w:line="280" w:lineRule="exact"/>
                          <w:ind w:left="1794" w:right="-239"/>
                        </w:pPr>
                        <w:r>
                          <w:rPr>
                            <w:rFonts w:ascii="Times New Roman" w:hAnsi="Times New Roman" w:cs="Times New Roman"/>
                            <w:b/>
                            <w:noProof/>
                            <w:color w:val="000000"/>
                            <w:spacing w:val="-3"/>
                            <w:w w:val="95"/>
                            <w:sz w:val="24"/>
                          </w:rPr>
                          <w:t>Tarihi</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after="0" w:line="280" w:lineRule="exact"/>
                          <w:ind w:left="2114" w:right="-239"/>
                        </w:pPr>
                        <w:r>
                          <w:rPr>
                            <w:rFonts w:ascii="Times New Roman" w:hAnsi="Times New Roman" w:cs="Times New Roman"/>
                            <w:b/>
                            <w:noProof/>
                            <w:color w:val="000000"/>
                            <w:spacing w:val="-2"/>
                            <w:w w:val="95"/>
                            <w:sz w:val="24"/>
                          </w:rPr>
                          <w:t>Sayısı</w:t>
                        </w:r>
                      </w:p>
                    </w:tc>
                  </w:tr>
                  <w:tr w:rsidR="008A47FC" w:rsidTr="008A47FC">
                    <w:trPr>
                      <w:trHeight w:hRule="exact" w:val="285"/>
                    </w:trPr>
                    <w:tc>
                      <w:tcPr>
                        <w:tcW w:w="40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line="280" w:lineRule="exact"/>
                        </w:pP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line="280" w:lineRule="exact"/>
                        </w:pPr>
                      </w:p>
                    </w:tc>
                  </w:tr>
                  <w:tr w:rsidR="008A47FC" w:rsidTr="008A47FC">
                    <w:trPr>
                      <w:trHeight w:hRule="exact" w:val="285"/>
                    </w:trPr>
                    <w:tc>
                      <w:tcPr>
                        <w:tcW w:w="40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line="280" w:lineRule="exact"/>
                        </w:pP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line="280" w:lineRule="exact"/>
                        </w:pPr>
                      </w:p>
                    </w:tc>
                  </w:tr>
                  <w:tr w:rsidR="008A47FC" w:rsidTr="008A47FC">
                    <w:trPr>
                      <w:trHeight w:hRule="exact" w:val="285"/>
                    </w:trPr>
                    <w:tc>
                      <w:tcPr>
                        <w:tcW w:w="8557"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after="0" w:line="277" w:lineRule="exact"/>
                          <w:ind w:left="1509" w:right="-239"/>
                        </w:pPr>
                        <w:r w:rsidRPr="00AB7FEE">
                          <w:rPr>
                            <w:rFonts w:ascii="Times New Roman" w:hAnsi="Times New Roman" w:cs="Times New Roman"/>
                            <w:b/>
                            <w:noProof/>
                            <w:color w:val="000000"/>
                            <w:spacing w:val="-3"/>
                            <w:w w:val="95"/>
                            <w:sz w:val="24"/>
                          </w:rPr>
                          <w:t>Yöne</w:t>
                        </w:r>
                        <w:r w:rsidRPr="00AB7FEE">
                          <w:rPr>
                            <w:rFonts w:ascii="Times New Roman" w:hAnsi="Times New Roman" w:cs="Times New Roman"/>
                            <w:b/>
                            <w:noProof/>
                            <w:color w:val="000000"/>
                            <w:spacing w:val="-2"/>
                            <w:sz w:val="24"/>
                          </w:rPr>
                          <w:t>tmeliğin</w:t>
                        </w:r>
                        <w:r>
                          <w:rPr>
                            <w:rFonts w:ascii="Times New Roman" w:hAnsi="Times New Roman" w:cs="Times New Roman"/>
                            <w:b/>
                            <w:noProof/>
                            <w:color w:val="000000"/>
                            <w:spacing w:val="-2"/>
                            <w:w w:val="95"/>
                            <w:sz w:val="24"/>
                          </w:rPr>
                          <w:t xml:space="preserve"> Değişiklik</w:t>
                        </w:r>
                        <w:r>
                          <w:rPr>
                            <w:rFonts w:ascii="Calibri" w:hAnsi="Calibri" w:cs="Calibri"/>
                            <w:b/>
                            <w:noProof/>
                            <w:color w:val="000000"/>
                            <w:spacing w:val="3"/>
                            <w:sz w:val="24"/>
                          </w:rPr>
                          <w:t> </w:t>
                        </w:r>
                        <w:r>
                          <w:rPr>
                            <w:rFonts w:ascii="Times New Roman" w:hAnsi="Times New Roman" w:cs="Times New Roman"/>
                            <w:b/>
                            <w:noProof/>
                            <w:color w:val="000000"/>
                            <w:spacing w:val="-3"/>
                            <w:w w:val="95"/>
                            <w:sz w:val="24"/>
                          </w:rPr>
                          <w:t>veya</w:t>
                        </w:r>
                        <w:r>
                          <w:rPr>
                            <w:rFonts w:ascii="Calibri" w:hAnsi="Calibri" w:cs="Calibri"/>
                            <w:b/>
                            <w:noProof/>
                            <w:color w:val="000000"/>
                            <w:spacing w:val="3"/>
                            <w:sz w:val="24"/>
                          </w:rPr>
                          <w:t> </w:t>
                        </w:r>
                        <w:r>
                          <w:rPr>
                            <w:rFonts w:ascii="Times New Roman" w:hAnsi="Times New Roman" w:cs="Times New Roman"/>
                            <w:b/>
                            <w:noProof/>
                            <w:color w:val="000000"/>
                            <w:spacing w:val="-2"/>
                            <w:w w:val="95"/>
                            <w:sz w:val="24"/>
                          </w:rPr>
                          <w:t>İptali(*)</w:t>
                        </w:r>
                        <w:r>
                          <w:rPr>
                            <w:rFonts w:ascii="Calibri" w:hAnsi="Calibri" w:cs="Calibri"/>
                            <w:b/>
                            <w:noProof/>
                            <w:color w:val="000000"/>
                            <w:spacing w:val="3"/>
                            <w:sz w:val="24"/>
                          </w:rPr>
                          <w:t> </w:t>
                        </w:r>
                        <w:r>
                          <w:rPr>
                            <w:rFonts w:ascii="Times New Roman" w:hAnsi="Times New Roman" w:cs="Times New Roman"/>
                            <w:b/>
                            <w:noProof/>
                            <w:color w:val="000000"/>
                            <w:spacing w:val="-3"/>
                            <w:w w:val="95"/>
                            <w:sz w:val="24"/>
                          </w:rPr>
                          <w:t>Yapılan</w:t>
                        </w:r>
                        <w:r>
                          <w:rPr>
                            <w:rFonts w:ascii="Calibri" w:hAnsi="Calibri" w:cs="Calibri"/>
                            <w:b/>
                            <w:noProof/>
                            <w:color w:val="000000"/>
                            <w:spacing w:val="3"/>
                            <w:sz w:val="24"/>
                          </w:rPr>
                          <w:t> </w:t>
                        </w:r>
                        <w:r>
                          <w:rPr>
                            <w:rFonts w:ascii="Times New Roman" w:hAnsi="Times New Roman" w:cs="Times New Roman"/>
                            <w:b/>
                            <w:noProof/>
                            <w:color w:val="000000"/>
                            <w:spacing w:val="-3"/>
                            <w:w w:val="95"/>
                            <w:sz w:val="24"/>
                          </w:rPr>
                          <w:t>Resmi Gazete</w:t>
                        </w:r>
                      </w:p>
                    </w:tc>
                  </w:tr>
                  <w:tr w:rsidR="008A47FC" w:rsidTr="008A47FC">
                    <w:trPr>
                      <w:trHeight w:hRule="exact" w:val="285"/>
                    </w:trPr>
                    <w:tc>
                      <w:tcPr>
                        <w:tcW w:w="40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after="0" w:line="277" w:lineRule="exact"/>
                          <w:ind w:left="1794" w:right="-239"/>
                        </w:pPr>
                        <w:r>
                          <w:rPr>
                            <w:rFonts w:ascii="Times New Roman" w:hAnsi="Times New Roman" w:cs="Times New Roman"/>
                            <w:b/>
                            <w:noProof/>
                            <w:color w:val="000000"/>
                            <w:spacing w:val="-3"/>
                            <w:w w:val="95"/>
                            <w:sz w:val="24"/>
                          </w:rPr>
                          <w:t>Tarihi</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after="0" w:line="277" w:lineRule="exact"/>
                          <w:ind w:left="2114" w:right="-239"/>
                        </w:pPr>
                        <w:r>
                          <w:rPr>
                            <w:rFonts w:ascii="Times New Roman" w:hAnsi="Times New Roman" w:cs="Times New Roman"/>
                            <w:b/>
                            <w:noProof/>
                            <w:color w:val="000000"/>
                            <w:spacing w:val="-2"/>
                            <w:w w:val="95"/>
                            <w:sz w:val="24"/>
                          </w:rPr>
                          <w:t>Sayısı</w:t>
                        </w:r>
                      </w:p>
                    </w:tc>
                  </w:tr>
                  <w:tr w:rsidR="008A47FC" w:rsidTr="008A47FC">
                    <w:trPr>
                      <w:trHeight w:hRule="exact" w:val="286"/>
                    </w:trPr>
                    <w:tc>
                      <w:tcPr>
                        <w:tcW w:w="40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line="277" w:lineRule="exact"/>
                        </w:pP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line="277" w:lineRule="exact"/>
                        </w:pPr>
                      </w:p>
                    </w:tc>
                  </w:tr>
                  <w:tr w:rsidR="008A47FC" w:rsidTr="008A47FC">
                    <w:trPr>
                      <w:trHeight w:hRule="exact" w:val="288"/>
                    </w:trPr>
                    <w:tc>
                      <w:tcPr>
                        <w:tcW w:w="40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line="277" w:lineRule="exact"/>
                        </w:pP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line="277" w:lineRule="exact"/>
                        </w:pPr>
                      </w:p>
                    </w:tc>
                  </w:tr>
                  <w:tr w:rsidR="008A47FC" w:rsidTr="008A47FC">
                    <w:trPr>
                      <w:trHeight w:hRule="exact" w:val="285"/>
                    </w:trPr>
                    <w:tc>
                      <w:tcPr>
                        <w:tcW w:w="40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line="277" w:lineRule="exact"/>
                        </w:pP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line="277" w:lineRule="exact"/>
                        </w:pPr>
                      </w:p>
                    </w:tc>
                  </w:tr>
                  <w:tr w:rsidR="008A47FC" w:rsidTr="008A47FC">
                    <w:trPr>
                      <w:trHeight w:hRule="exact" w:val="285"/>
                    </w:trPr>
                    <w:tc>
                      <w:tcPr>
                        <w:tcW w:w="8557"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after="0" w:line="277" w:lineRule="exact"/>
                          <w:ind w:left="3023" w:right="-239"/>
                        </w:pPr>
                        <w:r>
                          <w:rPr>
                            <w:rFonts w:ascii="Times New Roman" w:hAnsi="Times New Roman" w:cs="Times New Roman"/>
                            <w:b/>
                            <w:noProof/>
                            <w:color w:val="000000"/>
                            <w:spacing w:val="-4"/>
                            <w:w w:val="95"/>
                            <w:sz w:val="24"/>
                          </w:rPr>
                          <w:t>Resmi</w:t>
                        </w:r>
                        <w:r>
                          <w:rPr>
                            <w:rFonts w:ascii="Calibri" w:hAnsi="Calibri" w:cs="Calibri"/>
                            <w:b/>
                            <w:noProof/>
                            <w:color w:val="000000"/>
                            <w:spacing w:val="3"/>
                            <w:sz w:val="24"/>
                          </w:rPr>
                          <w:t> </w:t>
                        </w:r>
                        <w:r>
                          <w:rPr>
                            <w:rFonts w:ascii="Times New Roman" w:hAnsi="Times New Roman" w:cs="Times New Roman"/>
                            <w:b/>
                            <w:noProof/>
                            <w:color w:val="000000"/>
                            <w:spacing w:val="-3"/>
                            <w:w w:val="95"/>
                            <w:sz w:val="24"/>
                          </w:rPr>
                          <w:t>Gazetede</w:t>
                        </w:r>
                        <w:r>
                          <w:rPr>
                            <w:rFonts w:ascii="Calibri" w:hAnsi="Calibri" w:cs="Calibri"/>
                            <w:b/>
                            <w:noProof/>
                            <w:color w:val="000000"/>
                            <w:spacing w:val="2"/>
                            <w:sz w:val="24"/>
                          </w:rPr>
                          <w:t> </w:t>
                        </w:r>
                        <w:r>
                          <w:rPr>
                            <w:rFonts w:ascii="Times New Roman" w:hAnsi="Times New Roman" w:cs="Times New Roman"/>
                            <w:b/>
                            <w:noProof/>
                            <w:color w:val="000000"/>
                            <w:spacing w:val="-3"/>
                            <w:w w:val="95"/>
                            <w:sz w:val="24"/>
                          </w:rPr>
                          <w:t>Yayımlanma</w:t>
                        </w:r>
                      </w:p>
                    </w:tc>
                  </w:tr>
                  <w:tr w:rsidR="008A47FC" w:rsidTr="008A47FC">
                    <w:trPr>
                      <w:trHeight w:hRule="exact" w:val="285"/>
                    </w:trPr>
                    <w:tc>
                      <w:tcPr>
                        <w:tcW w:w="40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after="0" w:line="277" w:lineRule="exact"/>
                          <w:ind w:left="1794" w:right="-239"/>
                        </w:pPr>
                        <w:r>
                          <w:rPr>
                            <w:rFonts w:ascii="Times New Roman" w:hAnsi="Times New Roman" w:cs="Times New Roman"/>
                            <w:b/>
                            <w:noProof/>
                            <w:color w:val="000000"/>
                            <w:spacing w:val="-3"/>
                            <w:w w:val="95"/>
                            <w:sz w:val="24"/>
                          </w:rPr>
                          <w:t>Tarihi</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after="0" w:line="277" w:lineRule="exact"/>
                          <w:ind w:left="2114" w:right="-239"/>
                        </w:pPr>
                        <w:r>
                          <w:rPr>
                            <w:rFonts w:ascii="Times New Roman" w:hAnsi="Times New Roman" w:cs="Times New Roman"/>
                            <w:b/>
                            <w:noProof/>
                            <w:color w:val="000000"/>
                            <w:spacing w:val="-2"/>
                            <w:w w:val="95"/>
                            <w:sz w:val="24"/>
                          </w:rPr>
                          <w:t>Sayısı</w:t>
                        </w:r>
                      </w:p>
                    </w:tc>
                  </w:tr>
                  <w:tr w:rsidR="008A47FC" w:rsidTr="008A47FC">
                    <w:trPr>
                      <w:trHeight w:hRule="exact" w:val="264"/>
                    </w:trPr>
                    <w:tc>
                      <w:tcPr>
                        <w:tcW w:w="40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Pr="008A47FC" w:rsidRDefault="008A47FC" w:rsidP="008A47FC">
                        <w:pPr>
                          <w:spacing w:line="277" w:lineRule="exact"/>
                          <w:jc w:val="center"/>
                          <w:rPr>
                            <w:rFonts w:ascii="Times New Roman" w:hAnsi="Times New Roman" w:cs="Times New Roman"/>
                            <w:sz w:val="20"/>
                            <w:szCs w:val="20"/>
                          </w:rPr>
                        </w:pPr>
                        <w:r w:rsidRPr="008A47FC">
                          <w:rPr>
                            <w:rFonts w:ascii="Times New Roman" w:hAnsi="Times New Roman" w:cs="Times New Roman"/>
                            <w:sz w:val="20"/>
                            <w:szCs w:val="20"/>
                          </w:rPr>
                          <w:t>01.08.2014</w:t>
                        </w: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Pr="008A47FC" w:rsidRDefault="008A47FC" w:rsidP="008A47FC">
                        <w:pPr>
                          <w:spacing w:line="277" w:lineRule="exact"/>
                          <w:jc w:val="center"/>
                          <w:rPr>
                            <w:rFonts w:ascii="Times New Roman" w:hAnsi="Times New Roman" w:cs="Times New Roman"/>
                            <w:sz w:val="20"/>
                            <w:szCs w:val="20"/>
                          </w:rPr>
                        </w:pPr>
                        <w:r w:rsidRPr="008A47FC">
                          <w:rPr>
                            <w:rFonts w:ascii="Times New Roman" w:eastAsia="Times New Roman" w:hAnsi="Times New Roman" w:cs="Times New Roman"/>
                            <w:sz w:val="20"/>
                            <w:szCs w:val="20"/>
                            <w:lang w:eastAsia="tr-TR"/>
                          </w:rPr>
                          <w:t>29075</w:t>
                        </w:r>
                      </w:p>
                    </w:tc>
                  </w:tr>
                  <w:tr w:rsidR="008A47FC" w:rsidTr="008A47FC">
                    <w:trPr>
                      <w:trHeight w:hRule="exact" w:val="285"/>
                    </w:trPr>
                    <w:tc>
                      <w:tcPr>
                        <w:tcW w:w="40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line="277" w:lineRule="exact"/>
                        </w:pP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line="277" w:lineRule="exact"/>
                        </w:pPr>
                      </w:p>
                    </w:tc>
                  </w:tr>
                  <w:tr w:rsidR="008A47FC" w:rsidTr="008A47FC">
                    <w:trPr>
                      <w:trHeight w:hRule="exact" w:val="285"/>
                    </w:trPr>
                    <w:tc>
                      <w:tcPr>
                        <w:tcW w:w="40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line="277" w:lineRule="exact"/>
                        </w:pPr>
                      </w:p>
                    </w:tc>
                    <w:tc>
                      <w:tcPr>
                        <w:tcW w:w="45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A47FC" w:rsidRDefault="008A47FC" w:rsidP="008A47FC">
                        <w:pPr>
                          <w:spacing w:line="277" w:lineRule="exact"/>
                        </w:pPr>
                      </w:p>
                    </w:tc>
                  </w:tr>
                </w:tbl>
                <w:p w:rsidR="008A47FC" w:rsidRPr="00544E8F" w:rsidRDefault="008A47FC" w:rsidP="00544E8F">
                  <w:pPr>
                    <w:spacing w:before="100" w:beforeAutospacing="1" w:after="100" w:afterAutospacing="1" w:line="240" w:lineRule="atLeast"/>
                    <w:ind w:firstLine="566"/>
                    <w:rPr>
                      <w:rFonts w:ascii="Times New Roman" w:eastAsia="Times New Roman" w:hAnsi="Times New Roman" w:cs="Times New Roman"/>
                      <w:sz w:val="24"/>
                      <w:szCs w:val="24"/>
                      <w:lang w:eastAsia="tr-TR"/>
                    </w:rPr>
                  </w:pPr>
                </w:p>
                <w:p w:rsidR="00544E8F" w:rsidRPr="00544E8F" w:rsidRDefault="00544E8F" w:rsidP="00544E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E8F">
                    <w:rPr>
                      <w:rFonts w:ascii="Arial" w:eastAsia="Times New Roman" w:hAnsi="Arial" w:cs="Arial"/>
                      <w:b/>
                      <w:bCs/>
                      <w:color w:val="000080"/>
                      <w:sz w:val="18"/>
                      <w:szCs w:val="18"/>
                      <w:lang w:eastAsia="tr-TR"/>
                    </w:rPr>
                    <w:t> </w:t>
                  </w:r>
                </w:p>
              </w:tc>
            </w:tr>
          </w:tbl>
          <w:p w:rsidR="00544E8F" w:rsidRPr="00544E8F" w:rsidRDefault="00544E8F" w:rsidP="00544E8F">
            <w:pPr>
              <w:spacing w:after="0" w:line="240" w:lineRule="auto"/>
              <w:rPr>
                <w:rFonts w:ascii="Times New Roman" w:eastAsia="Times New Roman" w:hAnsi="Times New Roman" w:cs="Times New Roman"/>
                <w:sz w:val="24"/>
                <w:szCs w:val="24"/>
                <w:lang w:eastAsia="tr-TR"/>
              </w:rPr>
            </w:pPr>
          </w:p>
        </w:tc>
      </w:tr>
    </w:tbl>
    <w:p w:rsidR="00544E8F" w:rsidRPr="00544E8F" w:rsidRDefault="00544E8F" w:rsidP="00544E8F">
      <w:pPr>
        <w:spacing w:after="0" w:line="240" w:lineRule="auto"/>
        <w:jc w:val="center"/>
        <w:rPr>
          <w:rFonts w:ascii="Times New Roman" w:eastAsia="Times New Roman" w:hAnsi="Times New Roman" w:cs="Times New Roman"/>
          <w:color w:val="000000"/>
          <w:sz w:val="27"/>
          <w:szCs w:val="27"/>
          <w:lang w:eastAsia="tr-TR"/>
        </w:rPr>
      </w:pPr>
      <w:r w:rsidRPr="00544E8F">
        <w:rPr>
          <w:rFonts w:ascii="Times New Roman" w:eastAsia="Times New Roman" w:hAnsi="Times New Roman" w:cs="Times New Roman"/>
          <w:color w:val="000000"/>
          <w:sz w:val="27"/>
          <w:szCs w:val="27"/>
          <w:lang w:eastAsia="tr-TR"/>
        </w:rPr>
        <w:lastRenderedPageBreak/>
        <w:t> </w:t>
      </w:r>
    </w:p>
    <w:p w:rsidR="000F467A" w:rsidRDefault="000F467A"/>
    <w:sectPr w:rsidR="000F4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8F"/>
    <w:rsid w:val="00062B26"/>
    <w:rsid w:val="000F467A"/>
    <w:rsid w:val="00412135"/>
    <w:rsid w:val="00544E8F"/>
    <w:rsid w:val="008A47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1962A-39FC-42B8-A3ED-68D9B6E8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44E8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4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0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2132</Words>
  <Characters>12154</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Windows Kullanıcısı</cp:lastModifiedBy>
  <cp:revision>2</cp:revision>
  <cp:lastPrinted>2018-01-03T07:04:00Z</cp:lastPrinted>
  <dcterms:created xsi:type="dcterms:W3CDTF">2021-06-15T06:58:00Z</dcterms:created>
  <dcterms:modified xsi:type="dcterms:W3CDTF">2021-06-15T06:58:00Z</dcterms:modified>
</cp:coreProperties>
</file>