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57" w:rsidRPr="00347B57" w:rsidRDefault="00347B57" w:rsidP="000716F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TIP FAKÜLTESİ DEKANLIĞI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Akademik Personel Memnuniyet Anketi</w:t>
      </w:r>
      <w:r w:rsidR="00130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D2ED6" w:rsidRPr="009C0A88" w:rsidRDefault="002A4A7C" w:rsidP="009C0A88">
      <w:pPr>
        <w:tabs>
          <w:tab w:val="left" w:pos="92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C0A88">
        <w:rPr>
          <w:rFonts w:ascii="Times New Roman" w:hAnsi="Times New Roman" w:cs="Times New Roman"/>
        </w:rPr>
        <w:t>22.11</w:t>
      </w:r>
      <w:r w:rsidR="007E78E8" w:rsidRPr="000C4FA5">
        <w:rPr>
          <w:rFonts w:ascii="Times New Roman" w:hAnsi="Times New Roman" w:cs="Times New Roman"/>
        </w:rPr>
        <w:t>.2025</w:t>
      </w:r>
      <w:r w:rsidR="007E78E8">
        <w:rPr>
          <w:rFonts w:ascii="Times New Roman" w:hAnsi="Times New Roman" w:cs="Times New Roman"/>
        </w:rPr>
        <w:t xml:space="preserve"> İle </w:t>
      </w:r>
      <w:r w:rsidR="009C0A88">
        <w:rPr>
          <w:rFonts w:ascii="Times New Roman" w:hAnsi="Times New Roman" w:cs="Times New Roman"/>
        </w:rPr>
        <w:t>22.12</w:t>
      </w:r>
      <w:r w:rsidR="007E78E8" w:rsidRPr="000C4FA5">
        <w:rPr>
          <w:rFonts w:ascii="Times New Roman" w:hAnsi="Times New Roman" w:cs="Times New Roman"/>
        </w:rPr>
        <w:t>.2025</w:t>
      </w:r>
      <w:r w:rsidR="007E78E8">
        <w:rPr>
          <w:rFonts w:ascii="Times New Roman" w:hAnsi="Times New Roman" w:cs="Times New Roman"/>
        </w:rPr>
        <w:t xml:space="preserve"> </w:t>
      </w:r>
      <w:r w:rsidR="002C77C1">
        <w:rPr>
          <w:rFonts w:ascii="Times New Roman" w:hAnsi="Times New Roman" w:cs="Times New Roman"/>
        </w:rPr>
        <w:t>T</w:t>
      </w:r>
      <w:r w:rsidR="00347B57">
        <w:rPr>
          <w:rFonts w:ascii="Times New Roman" w:hAnsi="Times New Roman" w:cs="Times New Roman"/>
        </w:rPr>
        <w:t xml:space="preserve">arihleri arasında OBS Proliz Sistemi üzerinden Akademik personel Memnuniyet anketi uygulanmıştır. Toplamda </w:t>
      </w:r>
      <w:r w:rsidR="00C40EA4">
        <w:rPr>
          <w:rFonts w:ascii="Times New Roman" w:hAnsi="Times New Roman" w:cs="Times New Roman"/>
        </w:rPr>
        <w:t>31</w:t>
      </w:r>
      <w:r w:rsidR="00347B57">
        <w:rPr>
          <w:rFonts w:ascii="Times New Roman" w:hAnsi="Times New Roman" w:cs="Times New Roman"/>
        </w:rPr>
        <w:t xml:space="preserve"> sorudan oluşan ankette, her soru için 5 ayrı cevap seçeneği bulunmaktadır. Anketi cevaplayan </w:t>
      </w:r>
      <w:r w:rsidR="007E78E8">
        <w:rPr>
          <w:rFonts w:ascii="Times New Roman" w:hAnsi="Times New Roman" w:cs="Times New Roman"/>
        </w:rPr>
        <w:t>61</w:t>
      </w:r>
      <w:r w:rsidR="00347B57">
        <w:rPr>
          <w:rFonts w:ascii="Times New Roman" w:hAnsi="Times New Roman" w:cs="Times New Roman"/>
        </w:rPr>
        <w:t xml:space="preserve"> kişinin soruların cevap </w:t>
      </w:r>
      <w:r w:rsidR="00BB1ACF">
        <w:rPr>
          <w:rFonts w:ascii="Times New Roman" w:hAnsi="Times New Roman" w:cs="Times New Roman"/>
        </w:rPr>
        <w:t>şıklarından herhangi</w:t>
      </w:r>
      <w:r w:rsidR="00347B57">
        <w:rPr>
          <w:rFonts w:ascii="Times New Roman" w:hAnsi="Times New Roman" w:cs="Times New Roman"/>
        </w:rPr>
        <w:t xml:space="preserve"> birini iş</w:t>
      </w:r>
      <w:r w:rsidR="000716FF">
        <w:rPr>
          <w:rFonts w:ascii="Times New Roman" w:hAnsi="Times New Roman" w:cs="Times New Roman"/>
        </w:rPr>
        <w:t>aretlemesi zorunlu kılınmıştır.</w:t>
      </w:r>
      <w:r w:rsidR="00B73AA7">
        <w:rPr>
          <w:rFonts w:ascii="Times New Roman" w:hAnsi="Times New Roman" w:cs="Times New Roman"/>
        </w:rPr>
        <w:t xml:space="preserve"> </w:t>
      </w:r>
      <w:r w:rsidR="00347B57">
        <w:rPr>
          <w:rFonts w:ascii="Times New Roman" w:hAnsi="Times New Roman" w:cs="Times New Roman"/>
        </w:rPr>
        <w:t xml:space="preserve">Bu sayede anketi cevaplayanların herhangi bir soruda boş cevap vermesi engellenmiştir yapılan anket sonucu </w:t>
      </w:r>
      <w:r w:rsidR="00347B57">
        <w:rPr>
          <w:rFonts w:ascii="Times New Roman" w:hAnsi="Times New Roman" w:cs="Times New Roman"/>
          <w:b/>
        </w:rPr>
        <w:t xml:space="preserve">genel memnuniyet oranı  </w:t>
      </w:r>
      <w:r w:rsidR="00347B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%</w:t>
      </w:r>
      <w:r w:rsidR="00C40EA4">
        <w:rPr>
          <w:rFonts w:ascii="Times New Roman" w:hAnsi="Times New Roman" w:cs="Times New Roman"/>
          <w:b/>
        </w:rPr>
        <w:t>50</w:t>
      </w:r>
      <w:r w:rsidR="00C0318B">
        <w:rPr>
          <w:rFonts w:ascii="Times New Roman" w:hAnsi="Times New Roman" w:cs="Times New Roman"/>
          <w:b/>
        </w:rPr>
        <w:t>,74</w:t>
      </w:r>
      <w:bookmarkStart w:id="0" w:name="_GoBack"/>
      <w:bookmarkEnd w:id="0"/>
      <w:r w:rsidR="00347B57">
        <w:rPr>
          <w:rFonts w:ascii="Times New Roman" w:hAnsi="Times New Roman" w:cs="Times New Roman"/>
          <w:b/>
        </w:rPr>
        <w:t xml:space="preserve"> olduğu görülmüştür.</w:t>
      </w:r>
      <w:r w:rsidR="001308D9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</w:t>
      </w:r>
    </w:p>
    <w:p w:rsidR="009C0A88" w:rsidRDefault="00C40EA4" w:rsidP="000716FF">
      <w:r>
        <w:rPr>
          <w:noProof/>
        </w:rPr>
        <w:drawing>
          <wp:inline distT="0" distB="0" distL="0" distR="0" wp14:anchorId="588D1953" wp14:editId="0B151BA7">
            <wp:extent cx="5850890" cy="2037715"/>
            <wp:effectExtent l="0" t="0" r="16510" b="63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C0A88" w:rsidRDefault="009C0A88" w:rsidP="000716FF"/>
    <w:p w:rsidR="009C0A88" w:rsidRDefault="00C40EA4" w:rsidP="000716FF">
      <w:r>
        <w:rPr>
          <w:noProof/>
        </w:rPr>
        <w:drawing>
          <wp:inline distT="0" distB="0" distL="0" distR="0" wp14:anchorId="3FFC0208" wp14:editId="6F8C28D0">
            <wp:extent cx="5850890" cy="2439670"/>
            <wp:effectExtent l="0" t="0" r="16510" b="1778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1ACF" w:rsidRDefault="00BB1ACF" w:rsidP="000716FF"/>
    <w:p w:rsidR="009C0A88" w:rsidRDefault="00C40EA4" w:rsidP="000716FF">
      <w:r>
        <w:rPr>
          <w:noProof/>
        </w:rPr>
        <w:drawing>
          <wp:inline distT="0" distB="0" distL="0" distR="0" wp14:anchorId="642DA1B5" wp14:editId="75D73EE8">
            <wp:extent cx="5850890" cy="2544445"/>
            <wp:effectExtent l="0" t="0" r="16510" b="8255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0A88" w:rsidRDefault="009C0A88" w:rsidP="000716FF"/>
    <w:p w:rsidR="009C0A88" w:rsidRDefault="009C0A88" w:rsidP="000716FF"/>
    <w:p w:rsidR="009C0A88" w:rsidRDefault="00C40EA4" w:rsidP="000716FF">
      <w:r>
        <w:rPr>
          <w:noProof/>
        </w:rPr>
        <w:drawing>
          <wp:inline distT="0" distB="0" distL="0" distR="0" wp14:anchorId="4D28C200" wp14:editId="506E4907">
            <wp:extent cx="5850890" cy="8972550"/>
            <wp:effectExtent l="0" t="0" r="16510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0A88" w:rsidRDefault="009C0A88" w:rsidP="000716FF"/>
    <w:p w:rsidR="009C0A88" w:rsidRDefault="009C0A88" w:rsidP="000716FF"/>
    <w:sectPr w:rsidR="009C0A88" w:rsidSect="00E3413B">
      <w:pgSz w:w="11906" w:h="16838"/>
      <w:pgMar w:top="284" w:right="15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8D9" w:rsidRDefault="001E28D9" w:rsidP="009D2ED6">
      <w:pPr>
        <w:spacing w:after="0" w:line="240" w:lineRule="auto"/>
      </w:pPr>
      <w:r>
        <w:separator/>
      </w:r>
    </w:p>
  </w:endnote>
  <w:endnote w:type="continuationSeparator" w:id="0">
    <w:p w:rsidR="001E28D9" w:rsidRDefault="001E28D9" w:rsidP="009D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8D9" w:rsidRDefault="001E28D9" w:rsidP="009D2ED6">
      <w:pPr>
        <w:spacing w:after="0" w:line="240" w:lineRule="auto"/>
      </w:pPr>
      <w:r>
        <w:separator/>
      </w:r>
    </w:p>
  </w:footnote>
  <w:footnote w:type="continuationSeparator" w:id="0">
    <w:p w:rsidR="001E28D9" w:rsidRDefault="001E28D9" w:rsidP="009D2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D6"/>
    <w:rsid w:val="00013623"/>
    <w:rsid w:val="00030E80"/>
    <w:rsid w:val="00043F4D"/>
    <w:rsid w:val="000716FF"/>
    <w:rsid w:val="00072695"/>
    <w:rsid w:val="000D11FC"/>
    <w:rsid w:val="000D7F89"/>
    <w:rsid w:val="000E31CF"/>
    <w:rsid w:val="000E45EA"/>
    <w:rsid w:val="001308D9"/>
    <w:rsid w:val="00154F35"/>
    <w:rsid w:val="00160E3F"/>
    <w:rsid w:val="00162D1E"/>
    <w:rsid w:val="001A6F78"/>
    <w:rsid w:val="001E28D9"/>
    <w:rsid w:val="001E638D"/>
    <w:rsid w:val="001E6D0F"/>
    <w:rsid w:val="00226D0B"/>
    <w:rsid w:val="00230F4E"/>
    <w:rsid w:val="0023181D"/>
    <w:rsid w:val="002368BF"/>
    <w:rsid w:val="00242F4B"/>
    <w:rsid w:val="00273E6E"/>
    <w:rsid w:val="00292127"/>
    <w:rsid w:val="002A4A7C"/>
    <w:rsid w:val="002B2A14"/>
    <w:rsid w:val="002C77C1"/>
    <w:rsid w:val="002E793F"/>
    <w:rsid w:val="00300668"/>
    <w:rsid w:val="00305E46"/>
    <w:rsid w:val="00313A42"/>
    <w:rsid w:val="0032518C"/>
    <w:rsid w:val="00331237"/>
    <w:rsid w:val="003462F0"/>
    <w:rsid w:val="00347B57"/>
    <w:rsid w:val="0036025C"/>
    <w:rsid w:val="00374A94"/>
    <w:rsid w:val="003947B3"/>
    <w:rsid w:val="00397A2B"/>
    <w:rsid w:val="003C3E79"/>
    <w:rsid w:val="003D00F8"/>
    <w:rsid w:val="00426C36"/>
    <w:rsid w:val="004439AD"/>
    <w:rsid w:val="0044650A"/>
    <w:rsid w:val="004A08D3"/>
    <w:rsid w:val="004C3DA1"/>
    <w:rsid w:val="004D119F"/>
    <w:rsid w:val="004D6D7E"/>
    <w:rsid w:val="004E752D"/>
    <w:rsid w:val="004F232B"/>
    <w:rsid w:val="004F5D59"/>
    <w:rsid w:val="00540650"/>
    <w:rsid w:val="005406DE"/>
    <w:rsid w:val="00543839"/>
    <w:rsid w:val="00585142"/>
    <w:rsid w:val="00592618"/>
    <w:rsid w:val="005A202B"/>
    <w:rsid w:val="005A2B8F"/>
    <w:rsid w:val="005B095F"/>
    <w:rsid w:val="005B14F0"/>
    <w:rsid w:val="005D1035"/>
    <w:rsid w:val="005E2110"/>
    <w:rsid w:val="005F5FA4"/>
    <w:rsid w:val="006029CA"/>
    <w:rsid w:val="00603B83"/>
    <w:rsid w:val="00607521"/>
    <w:rsid w:val="00612D6A"/>
    <w:rsid w:val="00637DB7"/>
    <w:rsid w:val="00640207"/>
    <w:rsid w:val="00691C11"/>
    <w:rsid w:val="00695D37"/>
    <w:rsid w:val="006E2BF9"/>
    <w:rsid w:val="00725E2E"/>
    <w:rsid w:val="007306F5"/>
    <w:rsid w:val="00741903"/>
    <w:rsid w:val="007521A7"/>
    <w:rsid w:val="007678DE"/>
    <w:rsid w:val="00782901"/>
    <w:rsid w:val="007A5598"/>
    <w:rsid w:val="007E78E8"/>
    <w:rsid w:val="007F7D57"/>
    <w:rsid w:val="008A59AD"/>
    <w:rsid w:val="008C1251"/>
    <w:rsid w:val="008C5BF1"/>
    <w:rsid w:val="008E5B9D"/>
    <w:rsid w:val="008F309C"/>
    <w:rsid w:val="009266C0"/>
    <w:rsid w:val="00933ACB"/>
    <w:rsid w:val="00942CD3"/>
    <w:rsid w:val="00957A13"/>
    <w:rsid w:val="00971BBF"/>
    <w:rsid w:val="009730ED"/>
    <w:rsid w:val="00985E0E"/>
    <w:rsid w:val="009A657A"/>
    <w:rsid w:val="009C0A88"/>
    <w:rsid w:val="009C6FE8"/>
    <w:rsid w:val="009D2ED6"/>
    <w:rsid w:val="00A05A53"/>
    <w:rsid w:val="00A12C04"/>
    <w:rsid w:val="00A66BB0"/>
    <w:rsid w:val="00A66F85"/>
    <w:rsid w:val="00A76FD0"/>
    <w:rsid w:val="00B02389"/>
    <w:rsid w:val="00B4781B"/>
    <w:rsid w:val="00B521A6"/>
    <w:rsid w:val="00B650D6"/>
    <w:rsid w:val="00B73AA7"/>
    <w:rsid w:val="00B84924"/>
    <w:rsid w:val="00B872AD"/>
    <w:rsid w:val="00BB1ACF"/>
    <w:rsid w:val="00BE0078"/>
    <w:rsid w:val="00BF2808"/>
    <w:rsid w:val="00C0318B"/>
    <w:rsid w:val="00C21B6B"/>
    <w:rsid w:val="00C40EA4"/>
    <w:rsid w:val="00C4596A"/>
    <w:rsid w:val="00C5699F"/>
    <w:rsid w:val="00C66054"/>
    <w:rsid w:val="00CB201D"/>
    <w:rsid w:val="00CE732C"/>
    <w:rsid w:val="00CF48A2"/>
    <w:rsid w:val="00D315E6"/>
    <w:rsid w:val="00D61345"/>
    <w:rsid w:val="00D953C9"/>
    <w:rsid w:val="00DA01E6"/>
    <w:rsid w:val="00DA1821"/>
    <w:rsid w:val="00E0461E"/>
    <w:rsid w:val="00E1377B"/>
    <w:rsid w:val="00E150A6"/>
    <w:rsid w:val="00E21899"/>
    <w:rsid w:val="00E30BE1"/>
    <w:rsid w:val="00E3371B"/>
    <w:rsid w:val="00E3413B"/>
    <w:rsid w:val="00E83A2E"/>
    <w:rsid w:val="00E93EA9"/>
    <w:rsid w:val="00E96E66"/>
    <w:rsid w:val="00EE5580"/>
    <w:rsid w:val="00EF7BE0"/>
    <w:rsid w:val="00F448CF"/>
    <w:rsid w:val="00F65253"/>
    <w:rsid w:val="00F7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4368"/>
  <w15:docId w15:val="{0BABA121-C9F0-425C-A39A-D7A6CF72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ED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9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2ED6"/>
  </w:style>
  <w:style w:type="paragraph" w:styleId="AltBilgi">
    <w:name w:val="footer"/>
    <w:basedOn w:val="Normal"/>
    <w:link w:val="AltBilgiChar"/>
    <w:uiPriority w:val="99"/>
    <w:semiHidden/>
    <w:unhideWhenUsed/>
    <w:rsid w:val="009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tr-TR"/>
              <a:t>Genel Memnuniyet Oranı </a:t>
            </a:r>
          </a:p>
        </c:rich>
      </c:tx>
      <c:layout>
        <c:manualLayout>
          <c:xMode val="edge"/>
          <c:yMode val="edge"/>
          <c:x val="0.32450967047522561"/>
          <c:y val="0.2033003194667332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5609798120758481"/>
          <c:y val="0.41561053945528781"/>
          <c:w val="0.5362001824205096"/>
          <c:h val="0.4343128591090227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'Page 1'!$Z$2</c:f>
              <c:strCache>
                <c:ptCount val="1"/>
                <c:pt idx="0">
                  <c:v>Genel Memnuniyet Oranı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'Page 1'!$Y$3:$Y$4</c:f>
              <c:strCache>
                <c:ptCount val="1"/>
                <c:pt idx="0">
                  <c:v>Genel Memnuniyet Oranı</c:v>
                </c:pt>
              </c:strCache>
            </c:strRef>
          </c:cat>
          <c:val>
            <c:numRef>
              <c:f>'Page 1'!$Z$3:$Z$4</c:f>
              <c:numCache>
                <c:formatCode>General</c:formatCode>
                <c:ptCount val="2"/>
                <c:pt idx="0" formatCode="0.00%">
                  <c:v>0.50744143450952195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C4-48D0-8E83-E3447CC273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7247104"/>
        <c:axId val="67261184"/>
      </c:barChart>
      <c:catAx>
        <c:axId val="67247104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67261184"/>
        <c:crosses val="autoZero"/>
        <c:auto val="1"/>
        <c:lblAlgn val="ctr"/>
        <c:lblOffset val="100"/>
        <c:noMultiLvlLbl val="0"/>
      </c:catAx>
      <c:valAx>
        <c:axId val="6726118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67247104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Genel Memnuniyet Oranı</a:t>
            </a:r>
            <a:endParaRPr lang="tr-TR"/>
          </a:p>
          <a:p>
            <a:pPr>
              <a:defRPr/>
            </a:pPr>
            <a:r>
              <a:rPr lang="tr-TR"/>
              <a:t>Katılan Kişi Sayısı 61</a:t>
            </a:r>
            <a:endParaRPr lang="en-US"/>
          </a:p>
        </c:rich>
      </c:tx>
      <c:layout>
        <c:manualLayout>
          <c:xMode val="edge"/>
          <c:yMode val="edge"/>
          <c:x val="0.30916544320607636"/>
          <c:y val="6.5127660708210536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1433540222485472E-2"/>
          <c:y val="0.34696836819340127"/>
          <c:w val="0.95713291955502933"/>
          <c:h val="0.53447306997308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'Page 1'!$Z$6</c:f>
              <c:strCache>
                <c:ptCount val="1"/>
                <c:pt idx="0">
                  <c:v>Genel Memnuniyet Oranı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'Page 1'!$Y$7:$Y$11</c:f>
              <c:strCache>
                <c:ptCount val="5"/>
                <c:pt idx="0">
                  <c:v>Çok Memnunum</c:v>
                </c:pt>
                <c:pt idx="1">
                  <c:v>Memnunum</c:v>
                </c:pt>
                <c:pt idx="2">
                  <c:v>Kısmen Memnunum</c:v>
                </c:pt>
                <c:pt idx="3">
                  <c:v>Memnun Değilim</c:v>
                </c:pt>
                <c:pt idx="4">
                  <c:v>Hiç Memnun Değilim</c:v>
                </c:pt>
              </c:strCache>
            </c:strRef>
          </c:cat>
          <c:val>
            <c:numRef>
              <c:f>'Page 1'!$Z$7:$Z$11</c:f>
              <c:numCache>
                <c:formatCode>0.00%</c:formatCode>
                <c:ptCount val="5"/>
                <c:pt idx="0">
                  <c:v>0.1472</c:v>
                </c:pt>
                <c:pt idx="1">
                  <c:v>0.46839999999999998</c:v>
                </c:pt>
                <c:pt idx="2">
                  <c:v>0.32050000000000001</c:v>
                </c:pt>
                <c:pt idx="3">
                  <c:v>4.4699999999999997E-2</c:v>
                </c:pt>
                <c:pt idx="4">
                  <c:v>1.9199999999999998E-2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EB-4FDB-9A90-E2A060BCD4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7209088"/>
        <c:axId val="67210624"/>
      </c:barChart>
      <c:catAx>
        <c:axId val="67209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7210624"/>
        <c:crosses val="autoZero"/>
        <c:auto val="1"/>
        <c:lblAlgn val="ctr"/>
        <c:lblOffset val="100"/>
        <c:noMultiLvlLbl val="0"/>
      </c:catAx>
      <c:valAx>
        <c:axId val="6721062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67209088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3146640951859232E-2"/>
          <c:y val="0.13926376291138234"/>
          <c:w val="0.89747204814827353"/>
          <c:h val="0.69430563572799542"/>
        </c:manualLayout>
      </c:layout>
      <c:lineChart>
        <c:grouping val="standard"/>
        <c:varyColors val="0"/>
        <c:ser>
          <c:idx val="0"/>
          <c:order val="0"/>
          <c:tx>
            <c:strRef>
              <c:f>'Page 1'!$AJ$34</c:f>
              <c:strCache>
                <c:ptCount val="1"/>
                <c:pt idx="0">
                  <c:v>Soru Bazlı Memnuniyet Oranı </c:v>
                </c:pt>
              </c:strCache>
            </c:strRef>
          </c:tx>
          <c:marker>
            <c:spPr>
              <a:solidFill>
                <a:schemeClr val="tx1"/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tr-TR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'Page 1'!$AI$35:$AI$69</c:f>
              <c:strCache>
                <c:ptCount val="31"/>
                <c:pt idx="0">
                  <c:v>Soru 1</c:v>
                </c:pt>
                <c:pt idx="1">
                  <c:v>Soru 2</c:v>
                </c:pt>
                <c:pt idx="2">
                  <c:v>Soru 3</c:v>
                </c:pt>
                <c:pt idx="3">
                  <c:v>Soru 4</c:v>
                </c:pt>
                <c:pt idx="4">
                  <c:v>Soru 5</c:v>
                </c:pt>
                <c:pt idx="5">
                  <c:v>Soru 6</c:v>
                </c:pt>
                <c:pt idx="6">
                  <c:v>Soru 7</c:v>
                </c:pt>
                <c:pt idx="7">
                  <c:v>Soru 8</c:v>
                </c:pt>
                <c:pt idx="8">
                  <c:v>Soru 9</c:v>
                </c:pt>
                <c:pt idx="9">
                  <c:v>Soru 10</c:v>
                </c:pt>
                <c:pt idx="10">
                  <c:v>Soru 11</c:v>
                </c:pt>
                <c:pt idx="11">
                  <c:v>Soru 12</c:v>
                </c:pt>
                <c:pt idx="12">
                  <c:v>Soru 13</c:v>
                </c:pt>
                <c:pt idx="13">
                  <c:v>Soru 14</c:v>
                </c:pt>
                <c:pt idx="14">
                  <c:v>Soru 15</c:v>
                </c:pt>
                <c:pt idx="15">
                  <c:v>Soru 16</c:v>
                </c:pt>
                <c:pt idx="16">
                  <c:v>Soru 17</c:v>
                </c:pt>
                <c:pt idx="17">
                  <c:v>Soru 18</c:v>
                </c:pt>
                <c:pt idx="18">
                  <c:v>Soru 19</c:v>
                </c:pt>
                <c:pt idx="19">
                  <c:v>Soru 20</c:v>
                </c:pt>
                <c:pt idx="20">
                  <c:v>Soru 21</c:v>
                </c:pt>
                <c:pt idx="21">
                  <c:v>Soru 22</c:v>
                </c:pt>
                <c:pt idx="22">
                  <c:v>Soru 23</c:v>
                </c:pt>
                <c:pt idx="23">
                  <c:v>Soru 24</c:v>
                </c:pt>
                <c:pt idx="24">
                  <c:v>Soru 25</c:v>
                </c:pt>
                <c:pt idx="25">
                  <c:v>Soru 26</c:v>
                </c:pt>
                <c:pt idx="26">
                  <c:v>Soru 27</c:v>
                </c:pt>
                <c:pt idx="27">
                  <c:v>Soru 28</c:v>
                </c:pt>
                <c:pt idx="28">
                  <c:v>Soru 29</c:v>
                </c:pt>
                <c:pt idx="29">
                  <c:v>Soru 30</c:v>
                </c:pt>
                <c:pt idx="30">
                  <c:v>Soru 31</c:v>
                </c:pt>
              </c:strCache>
            </c:strRef>
          </c:cat>
          <c:val>
            <c:numRef>
              <c:f>'Page 1'!$AJ$35:$AJ$69</c:f>
              <c:numCache>
                <c:formatCode>0%</c:formatCode>
                <c:ptCount val="35"/>
                <c:pt idx="0">
                  <c:v>0.56896551724137934</c:v>
                </c:pt>
                <c:pt idx="1">
                  <c:v>0.51724137931034486</c:v>
                </c:pt>
                <c:pt idx="2">
                  <c:v>0.52413793103448281</c:v>
                </c:pt>
                <c:pt idx="3">
                  <c:v>0.52413793103448281</c:v>
                </c:pt>
                <c:pt idx="4">
                  <c:v>0.48965517241379308</c:v>
                </c:pt>
                <c:pt idx="5">
                  <c:v>0.52142857142857146</c:v>
                </c:pt>
                <c:pt idx="6">
                  <c:v>0.51379310344827589</c:v>
                </c:pt>
                <c:pt idx="7">
                  <c:v>0.54385964912280704</c:v>
                </c:pt>
                <c:pt idx="8">
                  <c:v>0.44827586206896552</c:v>
                </c:pt>
                <c:pt idx="9">
                  <c:v>0.60344827586206895</c:v>
                </c:pt>
                <c:pt idx="10">
                  <c:v>0.47931034482758622</c:v>
                </c:pt>
                <c:pt idx="11">
                  <c:v>0.52068965517241383</c:v>
                </c:pt>
                <c:pt idx="12">
                  <c:v>0.46206896551724136</c:v>
                </c:pt>
                <c:pt idx="13">
                  <c:v>0.52413793103448281</c:v>
                </c:pt>
                <c:pt idx="14">
                  <c:v>0.512280701754386</c:v>
                </c:pt>
                <c:pt idx="15">
                  <c:v>0.55172413793103448</c:v>
                </c:pt>
                <c:pt idx="16">
                  <c:v>0.56551724137931036</c:v>
                </c:pt>
                <c:pt idx="17">
                  <c:v>0.55517241379310345</c:v>
                </c:pt>
                <c:pt idx="18">
                  <c:v>0.57931034482758625</c:v>
                </c:pt>
                <c:pt idx="19">
                  <c:v>0.51379310344827589</c:v>
                </c:pt>
                <c:pt idx="20">
                  <c:v>0.52982456140350875</c:v>
                </c:pt>
                <c:pt idx="21">
                  <c:v>0.4689655172413793</c:v>
                </c:pt>
                <c:pt idx="22">
                  <c:v>0.52413793103448281</c:v>
                </c:pt>
                <c:pt idx="23">
                  <c:v>0.57241379310344831</c:v>
                </c:pt>
                <c:pt idx="24">
                  <c:v>0.55862068965517242</c:v>
                </c:pt>
                <c:pt idx="25">
                  <c:v>0.55087719298245619</c:v>
                </c:pt>
                <c:pt idx="26">
                  <c:v>0.50689655172413794</c:v>
                </c:pt>
                <c:pt idx="27">
                  <c:v>0.48965517241379308</c:v>
                </c:pt>
                <c:pt idx="28">
                  <c:v>0.5</c:v>
                </c:pt>
                <c:pt idx="29">
                  <c:v>0.51034482758620692</c:v>
                </c:pt>
                <c:pt idx="3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6A-4CF4-959B-393F75297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78336"/>
        <c:axId val="69284224"/>
      </c:lineChart>
      <c:catAx>
        <c:axId val="6927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284224"/>
        <c:crosses val="autoZero"/>
        <c:auto val="1"/>
        <c:lblAlgn val="ctr"/>
        <c:lblOffset val="100"/>
        <c:noMultiLvlLbl val="0"/>
      </c:catAx>
      <c:valAx>
        <c:axId val="692842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9278336"/>
        <c:crosses val="autoZero"/>
        <c:crossBetween val="between"/>
      </c:valAx>
      <c:spPr>
        <a:solidFill>
          <a:schemeClr val="accent2">
            <a:lumMod val="60000"/>
            <a:lumOff val="40000"/>
          </a:schemeClr>
        </a:solidFill>
      </c:spPr>
    </c:plotArea>
    <c:plotVisOnly val="1"/>
    <c:dispBlanksAs val="gap"/>
    <c:showDLblsOverMax val="0"/>
  </c:chart>
  <c:spPr>
    <a:solidFill>
      <a:sysClr val="window" lastClr="FFFFFF">
        <a:lumMod val="75000"/>
      </a:sys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1.4416610122562541E-3"/>
          <c:y val="2.7549470328947733E-2"/>
        </c:manualLayout>
      </c:layout>
      <c:overlay val="0"/>
      <c:txPr>
        <a:bodyPr/>
        <a:lstStyle/>
        <a:p>
          <a:pPr>
            <a:defRPr sz="2400"/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'Page 1'!$AJ$1</c:f>
              <c:strCache>
                <c:ptCount val="1"/>
                <c:pt idx="0">
                  <c:v>Soru Bazlı Memnuniyet Oranı </c:v>
                </c:pt>
              </c:strCache>
            </c:strRef>
          </c:tx>
          <c:dLbls>
            <c:dLbl>
              <c:idx val="12"/>
              <c:layout>
                <c:manualLayout>
                  <c:x val="-4.5081175684383058E-2"/>
                  <c:y val="-3.1816596173885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FC-47B1-8E17-DFF3C6DCEF7A}"/>
                </c:ext>
              </c:extLst>
            </c:dLbl>
            <c:dLbl>
              <c:idx val="27"/>
              <c:layout>
                <c:manualLayout>
                  <c:x val="4.612973410882789E-2"/>
                  <c:y val="3.2176360120590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FC-47B1-8E17-DFF3C6DCEF7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'Page 1'!$AI$2:$AI$33</c:f>
              <c:strCache>
                <c:ptCount val="31"/>
                <c:pt idx="0">
                  <c:v>Soru 1 Üniversitenin akademik yükseltme ölçütlerinden</c:v>
                </c:pt>
                <c:pt idx="1">
                  <c:v>Soru 2 Fikirlerin rahatça ifade edilebilmesinden</c:v>
                </c:pt>
                <c:pt idx="2">
                  <c:v>Soru 3 İdari görevlendirmelerinin yetkinlikler çerçevesinde yapılıyor olmasından</c:v>
                </c:pt>
                <c:pt idx="3">
                  <c:v>Soru 4 İdari ve destek personelinin görev ve sorumluluklarını zamanında yerine getirmesinden</c:v>
                </c:pt>
                <c:pt idx="4">
                  <c:v>Soru 5 Kurum içi iletişimden</c:v>
                </c:pt>
                <c:pt idx="5">
                  <c:v>Soru 6 Birim yöneticilerinin, iş kalitesini arttırmaya yönelik çalışmalarından</c:v>
                </c:pt>
                <c:pt idx="6">
                  <c:v>Soru 7 Araştırma için gereken izinlerin alınma sürecinden</c:v>
                </c:pt>
                <c:pt idx="7">
                  <c:v>Soru 8 Araştırmalarım için sağlanan fiziki ortam (örneğin laboratuvar, atölye vb.), teknik  personel ile materyalin yeterliğinden</c:v>
                </c:pt>
                <c:pt idx="8">
                  <c:v>Soru 9 Bilgi kaynağının (e-kütüphane, kütüphane vb.) istenen düzeyde olmasından</c:v>
                </c:pt>
                <c:pt idx="9">
                  <c:v> oru 10 Sempozyum, kongre vb. katılım için sunulan bütçe desteğinden</c:v>
                </c:pt>
                <c:pt idx="10">
                  <c:v>Soru 11  Programınızdaki/bölümünüzdeki seçmeli derslerin ihtiyaca cevap vermesinden</c:v>
                </c:pt>
                <c:pt idx="11">
                  <c:v>Soru 12 Biriminizin öğretim elemanlarının ders yükü dengesinden</c:v>
                </c:pt>
                <c:pt idx="12">
                  <c:v>Soru 13 Öğretim elemanlarına yetkinlikleri çerçevesinde ders verilmesinden</c:v>
                </c:pt>
                <c:pt idx="13">
                  <c:v>Soru 14  Sürekli Eğitim Merkezi’nin (DÜSEM) sağladığı hizmetlerden</c:v>
                </c:pt>
                <c:pt idx="14">
                  <c:v> Soru 15 Dış İlişkiler Ofis biriminin sağladığı hizmetlerden</c:v>
                </c:pt>
                <c:pt idx="15">
                  <c:v>Soru 16 Eğitim-öğretim faaliyetleri ile ilgili sağlanan donanım, araç ve gereç  desteğinden</c:v>
                </c:pt>
                <c:pt idx="16">
                  <c:v> Soru 17 Üniversitemizin ülkemiz ve dünya ölçeğindeki sıralamasından</c:v>
                </c:pt>
                <c:pt idx="17">
                  <c:v>Soru 18 Sağlık, Kültür ve Spor (SKS) biriminin sağladığı hizmetlerden</c:v>
                </c:pt>
                <c:pt idx="18">
                  <c:v>Soru 19 Ek ders, yolluk ve benzeri ödeme süreçlerinden</c:v>
                </c:pt>
                <c:pt idx="19">
                  <c:v>Soru 20 Bilgi İşlem Daire Başkanlığı hizmetlerinden</c:v>
                </c:pt>
                <c:pt idx="20">
                  <c:v>Soru 21 Hukuk destek hizmetlerinden</c:v>
                </c:pt>
                <c:pt idx="21">
                  <c:v>Soru 22 Öğrenci işleri hizmetlerinden</c:v>
                </c:pt>
                <c:pt idx="22">
                  <c:v> Soru 23 Güvenlik hizmetlerinden</c:v>
                </c:pt>
                <c:pt idx="23">
                  <c:v>Soru 24  Yemekhane hizmetlerinden</c:v>
                </c:pt>
                <c:pt idx="24">
                  <c:v>Soru 25  Kantin hizmetlerinden</c:v>
                </c:pt>
                <c:pt idx="25">
                  <c:v>Soru 26 Yapı İşleri Daire Başkanlığı hizmetlerinden</c:v>
                </c:pt>
                <c:pt idx="26">
                  <c:v>Soru 27 Kurum ve odaların ısıtma-soğutma açısından yeterliğinden</c:v>
                </c:pt>
                <c:pt idx="27">
                  <c:v>Soru 28 Kurum ve odaların aydınlatma açısından yeterliğinden</c:v>
                </c:pt>
                <c:pt idx="28">
                  <c:v>Soru 29 Kongre-toplantı salonlarının sayı ve fiziksel açıdan uygunluğundan</c:v>
                </c:pt>
                <c:pt idx="29">
                  <c:v>Soru 30 Kalite Geliştirme çalışmalarından</c:v>
                </c:pt>
                <c:pt idx="30">
                  <c:v>Soru 31 Ek olarak iletmek istedikleriniz</c:v>
                </c:pt>
              </c:strCache>
            </c:strRef>
          </c:cat>
          <c:val>
            <c:numRef>
              <c:f>'Page 1'!$AJ$2:$AJ$33</c:f>
              <c:numCache>
                <c:formatCode>0%</c:formatCode>
                <c:ptCount val="32"/>
                <c:pt idx="0">
                  <c:v>0.56896551724137934</c:v>
                </c:pt>
                <c:pt idx="1">
                  <c:v>0.51724137931034486</c:v>
                </c:pt>
                <c:pt idx="2">
                  <c:v>0.52413793103448281</c:v>
                </c:pt>
                <c:pt idx="3">
                  <c:v>0.52413793103448281</c:v>
                </c:pt>
                <c:pt idx="4">
                  <c:v>0.48965517241379308</c:v>
                </c:pt>
                <c:pt idx="5">
                  <c:v>0.52142857142857146</c:v>
                </c:pt>
                <c:pt idx="6">
                  <c:v>0.51379310344827589</c:v>
                </c:pt>
                <c:pt idx="7">
                  <c:v>0.54385964912280704</c:v>
                </c:pt>
                <c:pt idx="8">
                  <c:v>0.44827586206896552</c:v>
                </c:pt>
                <c:pt idx="9">
                  <c:v>0.60344827586206895</c:v>
                </c:pt>
                <c:pt idx="10">
                  <c:v>0.47931034482758622</c:v>
                </c:pt>
                <c:pt idx="11">
                  <c:v>0.52068965517241383</c:v>
                </c:pt>
                <c:pt idx="12">
                  <c:v>0.46206896551724136</c:v>
                </c:pt>
                <c:pt idx="13">
                  <c:v>0.52413793103448281</c:v>
                </c:pt>
                <c:pt idx="14">
                  <c:v>0.512280701754386</c:v>
                </c:pt>
                <c:pt idx="15">
                  <c:v>0.55172413793103448</c:v>
                </c:pt>
                <c:pt idx="16">
                  <c:v>0.56551724137931036</c:v>
                </c:pt>
                <c:pt idx="17">
                  <c:v>0.55517241379310345</c:v>
                </c:pt>
                <c:pt idx="18">
                  <c:v>0.57931034482758625</c:v>
                </c:pt>
                <c:pt idx="19">
                  <c:v>0.51379310344827589</c:v>
                </c:pt>
                <c:pt idx="20">
                  <c:v>0.52982456140350875</c:v>
                </c:pt>
                <c:pt idx="21">
                  <c:v>0.4689655172413793</c:v>
                </c:pt>
                <c:pt idx="22">
                  <c:v>0.52413793103448281</c:v>
                </c:pt>
                <c:pt idx="23">
                  <c:v>0.57241379310344831</c:v>
                </c:pt>
                <c:pt idx="24">
                  <c:v>0.55862068965517242</c:v>
                </c:pt>
                <c:pt idx="25">
                  <c:v>0.55087719298245619</c:v>
                </c:pt>
                <c:pt idx="26">
                  <c:v>0.50689655172413794</c:v>
                </c:pt>
                <c:pt idx="27">
                  <c:v>0.48965517241379308</c:v>
                </c:pt>
                <c:pt idx="28">
                  <c:v>0.5</c:v>
                </c:pt>
                <c:pt idx="29">
                  <c:v>0.51034482758620692</c:v>
                </c:pt>
                <c:pt idx="3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FC-47B1-8E17-DFF3C6DCEF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166666666666672"/>
          <c:y val="4.7571980525407488E-2"/>
          <c:w val="0.34166666666666767"/>
          <c:h val="0.94462880348536493"/>
        </c:manualLayout>
      </c:layout>
      <c:overlay val="0"/>
    </c:legend>
    <c:plotVisOnly val="1"/>
    <c:dispBlanksAs val="gap"/>
    <c:showDLblsOverMax val="0"/>
  </c:chart>
  <c:spPr>
    <a:solidFill>
      <a:schemeClr val="bg1">
        <a:lumMod val="75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Nuran AKPOLAT</cp:lastModifiedBy>
  <cp:revision>6</cp:revision>
  <cp:lastPrinted>2025-12-23T12:22:00Z</cp:lastPrinted>
  <dcterms:created xsi:type="dcterms:W3CDTF">2025-06-12T11:57:00Z</dcterms:created>
  <dcterms:modified xsi:type="dcterms:W3CDTF">2025-12-23T12:22:00Z</dcterms:modified>
</cp:coreProperties>
</file>