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C0" w:rsidRDefault="00D63BC0" w:rsidP="00D63BC0">
      <w:pPr>
        <w:jc w:val="center"/>
        <w:rPr>
          <w:b/>
          <w:bCs/>
        </w:rPr>
      </w:pPr>
    </w:p>
    <w:p w:rsidR="00D63BC0" w:rsidRDefault="00D63BC0" w:rsidP="00D63BC0">
      <w:pPr>
        <w:jc w:val="center"/>
      </w:pPr>
      <w:r>
        <w:rPr>
          <w:b/>
          <w:bCs/>
        </w:rPr>
        <w:t>Tıp Fakültesi Akademik Personel Memnuniyet Anketi</w:t>
      </w:r>
    </w:p>
    <w:p w:rsidR="00E10ADA" w:rsidRDefault="00D63BC0" w:rsidP="009E6B8D">
      <w:pPr>
        <w:jc w:val="both"/>
      </w:pPr>
      <w:r>
        <w:t xml:space="preserve">            25.05.2022 İle 02.06.2022 tarihleri arasında EBYS Sistemi üzerinden Akademik personel Memnuniyet anketi uygulanmıştır. Toplamda 34 sorudan oluşan ankette, her soru için 5 ayrı cevap seçeneği bulunmaktadır. Anketi cevaplayan kişilerin bu cevap şıklarından herhangi birini işaretlemesi zorunlu kılınmıştır. Bu sayede anketi cevaplayanların herhangi bir soruda boş cevap vermesi engellenmiştir yapılan anket sonucu genel memnuniyet oranı </w:t>
      </w:r>
      <w:r w:rsidR="00A978E2" w:rsidRPr="00A978E2">
        <w:rPr>
          <w:rFonts w:ascii="Trebuchet MS" w:eastAsia="Times New Roman" w:hAnsi="Trebuchet MS" w:cs="Times New Roman"/>
          <w:b/>
          <w:bCs/>
          <w:color w:val="000000" w:themeColor="text1"/>
          <w:sz w:val="20"/>
          <w:szCs w:val="20"/>
        </w:rPr>
        <w:t>%</w:t>
      </w:r>
      <w:r w:rsidR="00A978E2">
        <w:rPr>
          <w:rFonts w:ascii="Trebuchet MS" w:eastAsia="Times New Roman" w:hAnsi="Trebuchet MS" w:cs="Times New Roman"/>
          <w:b/>
          <w:bCs/>
          <w:color w:val="000000" w:themeColor="text1"/>
        </w:rPr>
        <w:t xml:space="preserve"> </w:t>
      </w:r>
      <w:r>
        <w:t>46,92 olduğu görülmüştür.</w:t>
      </w:r>
    </w:p>
    <w:p w:rsidR="00CA1762" w:rsidRDefault="00D863CC" w:rsidP="00DC7F3C">
      <w:r w:rsidRPr="00863E46">
        <w:rPr>
          <w:noProof/>
          <w:color w:val="D99594" w:themeColor="accent2" w:themeTint="99"/>
        </w:rPr>
        <w:drawing>
          <wp:inline distT="0" distB="0" distL="0" distR="0">
            <wp:extent cx="6657975" cy="2545715"/>
            <wp:effectExtent l="19050" t="0" r="9525" b="6985"/>
            <wp:docPr id="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bl>
      <w:tblPr>
        <w:tblW w:w="10665" w:type="dxa"/>
        <w:tblInd w:w="70" w:type="dxa"/>
        <w:tblCellMar>
          <w:left w:w="70" w:type="dxa"/>
          <w:right w:w="70" w:type="dxa"/>
        </w:tblCellMar>
        <w:tblLook w:val="04A0"/>
      </w:tblPr>
      <w:tblGrid>
        <w:gridCol w:w="445"/>
        <w:gridCol w:w="4233"/>
        <w:gridCol w:w="1276"/>
        <w:gridCol w:w="1432"/>
        <w:gridCol w:w="836"/>
        <w:gridCol w:w="1417"/>
        <w:gridCol w:w="1026"/>
      </w:tblGrid>
      <w:tr w:rsidR="009E6B8D" w:rsidRPr="00CA1762" w:rsidTr="009E6B8D">
        <w:trPr>
          <w:trHeight w:val="330"/>
        </w:trPr>
        <w:tc>
          <w:tcPr>
            <w:tcW w:w="445"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 xml:space="preserve">Soru no </w:t>
            </w:r>
          </w:p>
        </w:tc>
        <w:tc>
          <w:tcPr>
            <w:tcW w:w="4233" w:type="dxa"/>
            <w:tcBorders>
              <w:top w:val="single" w:sz="4" w:space="0" w:color="auto"/>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Soru</w:t>
            </w:r>
          </w:p>
        </w:tc>
        <w:tc>
          <w:tcPr>
            <w:tcW w:w="1276" w:type="dxa"/>
            <w:tcBorders>
              <w:top w:val="single" w:sz="4" w:space="0" w:color="auto"/>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Çok Memnunum</w:t>
            </w:r>
          </w:p>
        </w:tc>
        <w:tc>
          <w:tcPr>
            <w:tcW w:w="1432" w:type="dxa"/>
            <w:tcBorders>
              <w:top w:val="single" w:sz="4" w:space="0" w:color="auto"/>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Memnunum</w:t>
            </w:r>
          </w:p>
        </w:tc>
        <w:tc>
          <w:tcPr>
            <w:tcW w:w="836" w:type="dxa"/>
            <w:tcBorders>
              <w:top w:val="single" w:sz="4" w:space="0" w:color="auto"/>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Kararsızım</w:t>
            </w:r>
          </w:p>
        </w:tc>
        <w:tc>
          <w:tcPr>
            <w:tcW w:w="1417" w:type="dxa"/>
            <w:tcBorders>
              <w:top w:val="single" w:sz="4" w:space="0" w:color="auto"/>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Memnun Değilim</w:t>
            </w:r>
          </w:p>
        </w:tc>
        <w:tc>
          <w:tcPr>
            <w:tcW w:w="1026" w:type="dxa"/>
            <w:tcBorders>
              <w:top w:val="single" w:sz="4" w:space="0" w:color="auto"/>
              <w:left w:val="nil"/>
              <w:bottom w:val="single" w:sz="4" w:space="0" w:color="auto"/>
              <w:right w:val="single" w:sz="4" w:space="0" w:color="auto"/>
            </w:tcBorders>
            <w:shd w:val="clear" w:color="000000" w:fill="C2D69A"/>
            <w:noWrap/>
            <w:vAlign w:val="bottom"/>
            <w:hideMark/>
          </w:tcPr>
          <w:p w:rsidR="009E6B8D" w:rsidRPr="00CA1762" w:rsidRDefault="009E6B8D" w:rsidP="009E6B8D">
            <w:pPr>
              <w:tabs>
                <w:tab w:val="left" w:pos="58"/>
              </w:tabs>
              <w:spacing w:after="0" w:line="240" w:lineRule="auto"/>
              <w:ind w:left="-1378" w:right="213" w:firstLine="1378"/>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Hiç Memnun Değilim</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Üniversitenin akademik yükseltme ölçütlerinden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Fikirlerin rahatça ifade edilebilmesinden</w:t>
            </w:r>
          </w:p>
        </w:tc>
        <w:tc>
          <w:tcPr>
            <w:tcW w:w="1276" w:type="dxa"/>
            <w:tcBorders>
              <w:top w:val="nil"/>
              <w:left w:val="nil"/>
              <w:bottom w:val="single" w:sz="4" w:space="0" w:color="auto"/>
              <w:right w:val="single" w:sz="4" w:space="0" w:color="auto"/>
            </w:tcBorders>
            <w:shd w:val="clear" w:color="000000" w:fill="C2D69A"/>
            <w:vAlign w:val="bottom"/>
            <w:hideMark/>
          </w:tcPr>
          <w:p w:rsidR="009E6B8D" w:rsidRPr="00CA1762" w:rsidRDefault="009E6B8D" w:rsidP="00CA1762">
            <w:pPr>
              <w:spacing w:after="0" w:line="240" w:lineRule="auto"/>
              <w:rPr>
                <w:rFonts w:ascii="Trebuchet MS" w:eastAsia="Times New Roman" w:hAnsi="Trebuchet MS" w:cs="Times New Roman"/>
                <w:b/>
                <w:bCs/>
                <w:color w:val="C0504D"/>
                <w:sz w:val="16"/>
                <w:szCs w:val="16"/>
              </w:rPr>
            </w:pPr>
            <w:r w:rsidRPr="00CA1762">
              <w:rPr>
                <w:rFonts w:ascii="Trebuchet MS" w:eastAsia="Times New Roman" w:hAnsi="Trebuchet MS"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İdari görevlendirmelerinin yetkinlikler çerçevesinde yapılıyor olmasından</w:t>
            </w:r>
          </w:p>
        </w:tc>
        <w:tc>
          <w:tcPr>
            <w:tcW w:w="1276" w:type="dxa"/>
            <w:tcBorders>
              <w:top w:val="nil"/>
              <w:left w:val="nil"/>
              <w:bottom w:val="single" w:sz="4" w:space="0" w:color="auto"/>
              <w:right w:val="single" w:sz="4" w:space="0" w:color="auto"/>
            </w:tcBorders>
            <w:shd w:val="clear" w:color="000000" w:fill="C2D69A"/>
            <w:vAlign w:val="bottom"/>
            <w:hideMark/>
          </w:tcPr>
          <w:p w:rsidR="009E6B8D" w:rsidRPr="00CA1762" w:rsidRDefault="009E6B8D" w:rsidP="00CA1762">
            <w:pPr>
              <w:spacing w:after="0" w:line="240" w:lineRule="auto"/>
              <w:rPr>
                <w:rFonts w:ascii="Trebuchet MS" w:eastAsia="Times New Roman" w:hAnsi="Trebuchet MS" w:cs="Times New Roman"/>
                <w:b/>
                <w:bCs/>
                <w:color w:val="C0504D"/>
                <w:sz w:val="16"/>
                <w:szCs w:val="16"/>
              </w:rPr>
            </w:pPr>
            <w:r w:rsidRPr="00CA1762">
              <w:rPr>
                <w:rFonts w:ascii="Trebuchet MS" w:eastAsia="Times New Roman" w:hAnsi="Trebuchet MS"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75"/>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İdari ve destek personelinin görev ve sorumluluklarını zamanında yerine getirmesinden</w:t>
            </w:r>
          </w:p>
        </w:tc>
        <w:tc>
          <w:tcPr>
            <w:tcW w:w="1276" w:type="dxa"/>
            <w:tcBorders>
              <w:top w:val="nil"/>
              <w:left w:val="nil"/>
              <w:bottom w:val="single" w:sz="4" w:space="0" w:color="auto"/>
              <w:right w:val="single" w:sz="4" w:space="0" w:color="auto"/>
            </w:tcBorders>
            <w:shd w:val="clear" w:color="000000" w:fill="C2D69A"/>
            <w:vAlign w:val="bottom"/>
            <w:hideMark/>
          </w:tcPr>
          <w:p w:rsidR="009E6B8D" w:rsidRPr="00CA1762" w:rsidRDefault="009E6B8D" w:rsidP="00CA1762">
            <w:pPr>
              <w:spacing w:after="0" w:line="240" w:lineRule="auto"/>
              <w:rPr>
                <w:rFonts w:ascii="Trebuchet MS" w:eastAsia="Times New Roman" w:hAnsi="Trebuchet MS" w:cs="Times New Roman"/>
                <w:b/>
                <w:bCs/>
                <w:color w:val="C0504D"/>
                <w:sz w:val="16"/>
                <w:szCs w:val="16"/>
              </w:rPr>
            </w:pPr>
            <w:r w:rsidRPr="00CA1762">
              <w:rPr>
                <w:rFonts w:ascii="Trebuchet MS" w:eastAsia="Times New Roman" w:hAnsi="Trebuchet MS"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9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Kurum içi iletişimin yeteri düzeyde sağlanabiliyor olmasından</w:t>
            </w:r>
          </w:p>
        </w:tc>
        <w:tc>
          <w:tcPr>
            <w:tcW w:w="1276" w:type="dxa"/>
            <w:tcBorders>
              <w:top w:val="nil"/>
              <w:left w:val="nil"/>
              <w:bottom w:val="single" w:sz="4" w:space="0" w:color="auto"/>
              <w:right w:val="single" w:sz="4" w:space="0" w:color="auto"/>
            </w:tcBorders>
            <w:shd w:val="clear" w:color="000000" w:fill="C2D69A"/>
            <w:vAlign w:val="bottom"/>
            <w:hideMark/>
          </w:tcPr>
          <w:p w:rsidR="009E6B8D" w:rsidRPr="00CA1762" w:rsidRDefault="009E6B8D" w:rsidP="00CA1762">
            <w:pPr>
              <w:spacing w:after="0" w:line="240" w:lineRule="auto"/>
              <w:rPr>
                <w:rFonts w:ascii="Trebuchet MS" w:eastAsia="Times New Roman" w:hAnsi="Trebuchet MS" w:cs="Times New Roman"/>
                <w:b/>
                <w:bCs/>
                <w:color w:val="C0504D"/>
                <w:sz w:val="16"/>
                <w:szCs w:val="16"/>
              </w:rPr>
            </w:pPr>
            <w:r w:rsidRPr="00CA1762">
              <w:rPr>
                <w:rFonts w:ascii="Trebuchet MS" w:eastAsia="Times New Roman" w:hAnsi="Trebuchet MS"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6</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Birim yöneticilerinin, iş kalitesini arttırmaya yönelik çalışmalarından</w:t>
            </w:r>
          </w:p>
        </w:tc>
        <w:tc>
          <w:tcPr>
            <w:tcW w:w="1276" w:type="dxa"/>
            <w:tcBorders>
              <w:top w:val="nil"/>
              <w:left w:val="nil"/>
              <w:bottom w:val="single" w:sz="4" w:space="0" w:color="auto"/>
              <w:right w:val="single" w:sz="4" w:space="0" w:color="auto"/>
            </w:tcBorders>
            <w:shd w:val="clear" w:color="000000" w:fill="C2D69A"/>
            <w:vAlign w:val="bottom"/>
            <w:hideMark/>
          </w:tcPr>
          <w:p w:rsidR="009E6B8D" w:rsidRPr="00CA1762" w:rsidRDefault="009E6B8D" w:rsidP="00CA1762">
            <w:pPr>
              <w:spacing w:after="0" w:line="240" w:lineRule="auto"/>
              <w:rPr>
                <w:rFonts w:ascii="Trebuchet MS" w:eastAsia="Times New Roman" w:hAnsi="Trebuchet MS" w:cs="Times New Roman"/>
                <w:b/>
                <w:bCs/>
                <w:color w:val="C0504D"/>
                <w:sz w:val="16"/>
                <w:szCs w:val="16"/>
              </w:rPr>
            </w:pPr>
            <w:r w:rsidRPr="00CA1762">
              <w:rPr>
                <w:rFonts w:ascii="Trebuchet MS" w:eastAsia="Times New Roman" w:hAnsi="Trebuchet MS"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60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7</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Araştırma için gereken izinlerin alınma sürecinden</w:t>
            </w:r>
          </w:p>
        </w:tc>
        <w:tc>
          <w:tcPr>
            <w:tcW w:w="1276" w:type="dxa"/>
            <w:tcBorders>
              <w:top w:val="nil"/>
              <w:left w:val="nil"/>
              <w:bottom w:val="single" w:sz="4" w:space="0" w:color="auto"/>
              <w:right w:val="single" w:sz="4" w:space="0" w:color="auto"/>
            </w:tcBorders>
            <w:shd w:val="clear" w:color="000000" w:fill="C2D69A"/>
            <w:vAlign w:val="bottom"/>
            <w:hideMark/>
          </w:tcPr>
          <w:p w:rsidR="009E6B8D" w:rsidRPr="00CA1762" w:rsidRDefault="009E6B8D" w:rsidP="00CA1762">
            <w:pPr>
              <w:spacing w:after="0" w:line="240" w:lineRule="auto"/>
              <w:rPr>
                <w:rFonts w:ascii="Trebuchet MS" w:eastAsia="Times New Roman" w:hAnsi="Trebuchet MS" w:cs="Times New Roman"/>
                <w:b/>
                <w:bCs/>
                <w:color w:val="C0504D"/>
                <w:sz w:val="16"/>
                <w:szCs w:val="16"/>
              </w:rPr>
            </w:pPr>
            <w:r w:rsidRPr="00CA1762">
              <w:rPr>
                <w:rFonts w:ascii="Trebuchet MS" w:eastAsia="Times New Roman" w:hAnsi="Trebuchet MS"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8</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 xml:space="preserve">Araştırma </w:t>
            </w:r>
            <w:proofErr w:type="spellStart"/>
            <w:r w:rsidRPr="00CA1762">
              <w:rPr>
                <w:rFonts w:ascii="Calibri" w:eastAsia="Times New Roman" w:hAnsi="Calibri" w:cs="Times New Roman"/>
                <w:b/>
                <w:bCs/>
                <w:color w:val="C0504D"/>
                <w:sz w:val="16"/>
                <w:szCs w:val="16"/>
              </w:rPr>
              <w:t>laboratuvarlarının</w:t>
            </w:r>
            <w:proofErr w:type="spellEnd"/>
            <w:r w:rsidRPr="00CA1762">
              <w:rPr>
                <w:rFonts w:ascii="Calibri" w:eastAsia="Times New Roman" w:hAnsi="Calibri" w:cs="Times New Roman"/>
                <w:b/>
                <w:bCs/>
                <w:color w:val="C0504D"/>
                <w:sz w:val="16"/>
                <w:szCs w:val="16"/>
              </w:rPr>
              <w:t xml:space="preserve"> fiziksel koşullarından</w:t>
            </w:r>
          </w:p>
        </w:tc>
        <w:tc>
          <w:tcPr>
            <w:tcW w:w="1276" w:type="dxa"/>
            <w:tcBorders>
              <w:top w:val="nil"/>
              <w:left w:val="nil"/>
              <w:bottom w:val="single" w:sz="4" w:space="0" w:color="auto"/>
              <w:right w:val="single" w:sz="4" w:space="0" w:color="auto"/>
            </w:tcBorders>
            <w:shd w:val="clear" w:color="000000" w:fill="C2D69A"/>
            <w:vAlign w:val="bottom"/>
            <w:hideMark/>
          </w:tcPr>
          <w:p w:rsidR="009E6B8D" w:rsidRPr="00CA1762" w:rsidRDefault="009E6B8D" w:rsidP="00CA1762">
            <w:pPr>
              <w:spacing w:after="0" w:line="240" w:lineRule="auto"/>
              <w:rPr>
                <w:rFonts w:ascii="Trebuchet MS" w:eastAsia="Times New Roman" w:hAnsi="Trebuchet MS" w:cs="Times New Roman"/>
                <w:b/>
                <w:bCs/>
                <w:color w:val="C0504D"/>
                <w:sz w:val="16"/>
                <w:szCs w:val="16"/>
              </w:rPr>
            </w:pPr>
            <w:r w:rsidRPr="00CA1762">
              <w:rPr>
                <w:rFonts w:ascii="Trebuchet MS" w:eastAsia="Times New Roman" w:hAnsi="Trebuchet MS"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9</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 xml:space="preserve">Araştırma </w:t>
            </w:r>
            <w:proofErr w:type="spellStart"/>
            <w:r w:rsidRPr="00CA1762">
              <w:rPr>
                <w:rFonts w:ascii="Calibri" w:eastAsia="Times New Roman" w:hAnsi="Calibri" w:cs="Times New Roman"/>
                <w:b/>
                <w:bCs/>
                <w:color w:val="C0504D"/>
                <w:sz w:val="16"/>
                <w:szCs w:val="16"/>
              </w:rPr>
              <w:t>laboratuvarlarının</w:t>
            </w:r>
            <w:proofErr w:type="spellEnd"/>
            <w:r w:rsidRPr="00CA1762">
              <w:rPr>
                <w:rFonts w:ascii="Calibri" w:eastAsia="Times New Roman" w:hAnsi="Calibri" w:cs="Times New Roman"/>
                <w:b/>
                <w:bCs/>
                <w:color w:val="C0504D"/>
                <w:sz w:val="16"/>
                <w:szCs w:val="16"/>
              </w:rPr>
              <w:t xml:space="preserve"> yeterli sayıda bulunmasından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Bilgi kaynağının (e-kütüphane, kütüphane vb.) istenen düzeyde olmasından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r>
      <w:tr w:rsidR="009E6B8D" w:rsidRPr="00CA1762" w:rsidTr="009E6B8D">
        <w:trPr>
          <w:trHeight w:val="42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Bilgi kaynağının (e-kütüphane, kütüphane vb.) istenen düzeyde olmasından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60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39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12</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Yurt içi sempozyum, kongre vb. katılım için sunulan bütçe desteğinden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22</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55</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48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13</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Yurt dışı sempozyum, kongre vb. katılım için sunulan bütçe desteğinden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14</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Programınızdaki/Bölümünüzdeki seçmeli derslerin ihtiyaca cevap vermesinden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60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39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15</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Programınızdaki/Bölümünüzdeki seçmeli derslerin ihtiyaca cevap vermesinden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55</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22</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16</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Biriminizin öğretim elemanlarının ders yükü dengesinden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70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17</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Sürekli Eğitim Merkezi'nin (DÜSEM) sağladığı hizmetlerden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80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36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lastRenderedPageBreak/>
              <w:t>18</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Eğitim-öğretim faaliyetleri ile ilgili sağlanan donanım, araç ve gereç desteğinden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70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405"/>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19</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Eğitim-öğretim faaliyetleri ile ilgili sağlanan donanım, araç ve gereç desteğinden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77</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435"/>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Üniversitemizin ülkemiz ve dünya ölçeğindeki sıralamasından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33</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21</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Sağlık, Kültür ve Spor (SKS) biriminin sağladığı hizmetlerden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55</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22</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r>
      <w:tr w:rsidR="009E6B8D" w:rsidRPr="00CA1762" w:rsidTr="009E6B8D">
        <w:trPr>
          <w:trHeight w:val="435"/>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22</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Ek ders, yolluk ve benzeri ödeme süreçlerinden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23</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Bilgi İşlem Daire Başkanlığı hizmetlerinden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70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24</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Hukuk destek hizmetlerinden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22</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44</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33</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435"/>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25</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Öğrenci işleri hizmetlerinden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39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26</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Güvenlik hizmetlerinden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44</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22</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r>
      <w:tr w:rsidR="009E6B8D" w:rsidRPr="00CA1762" w:rsidTr="009E6B8D">
        <w:trPr>
          <w:trHeight w:val="405"/>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27</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Yemekhane hizmetlerinden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33</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33</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11</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22</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28</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Kantin hizmetlerinden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40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75"/>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29</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Yapı İşleri Daire Başkanlığı hizmetlerinden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60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30</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Kurum ve odaların ısıtma-soğutma açısından yeterli olma durumundan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50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3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31</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Kurum ve odaların aydınlatma açısından yeterli olma durumundan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60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r>
      <w:tr w:rsidR="009E6B8D" w:rsidRPr="00CA1762" w:rsidTr="009E6B8D">
        <w:trPr>
          <w:trHeight w:val="345"/>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32</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Kongre-toplantı salonlarının sayı ve fiziksel açıdan uygunluğundan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60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360"/>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33</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Kalite Komisyonu çalışmalarından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80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20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r w:rsidR="009E6B8D" w:rsidRPr="00CA1762" w:rsidTr="009E6B8D">
        <w:trPr>
          <w:trHeight w:val="345"/>
        </w:trPr>
        <w:tc>
          <w:tcPr>
            <w:tcW w:w="445" w:type="dxa"/>
            <w:tcBorders>
              <w:top w:val="nil"/>
              <w:left w:val="single" w:sz="4" w:space="0" w:color="auto"/>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jc w:val="center"/>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34</w:t>
            </w:r>
          </w:p>
        </w:tc>
        <w:tc>
          <w:tcPr>
            <w:tcW w:w="4233"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Kalite Geliştirme Koordinatörlüğü çalışmalarından</w:t>
            </w:r>
          </w:p>
        </w:tc>
        <w:tc>
          <w:tcPr>
            <w:tcW w:w="127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32"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70</w:t>
            </w:r>
          </w:p>
        </w:tc>
        <w:tc>
          <w:tcPr>
            <w:tcW w:w="83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417"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10</w:t>
            </w:r>
          </w:p>
        </w:tc>
        <w:tc>
          <w:tcPr>
            <w:tcW w:w="1026" w:type="dxa"/>
            <w:tcBorders>
              <w:top w:val="nil"/>
              <w:left w:val="nil"/>
              <w:bottom w:val="single" w:sz="4" w:space="0" w:color="auto"/>
              <w:right w:val="single" w:sz="4" w:space="0" w:color="auto"/>
            </w:tcBorders>
            <w:shd w:val="clear" w:color="000000" w:fill="C2D69A"/>
            <w:noWrap/>
            <w:vAlign w:val="bottom"/>
            <w:hideMark/>
          </w:tcPr>
          <w:p w:rsidR="009E6B8D" w:rsidRPr="00CA1762" w:rsidRDefault="009E6B8D" w:rsidP="00CA1762">
            <w:pPr>
              <w:spacing w:after="0" w:line="240" w:lineRule="auto"/>
              <w:rPr>
                <w:rFonts w:ascii="Calibri" w:eastAsia="Times New Roman" w:hAnsi="Calibri" w:cs="Times New Roman"/>
                <w:b/>
                <w:bCs/>
                <w:color w:val="C0504D"/>
                <w:sz w:val="16"/>
                <w:szCs w:val="16"/>
              </w:rPr>
            </w:pPr>
            <w:r w:rsidRPr="00CA1762">
              <w:rPr>
                <w:rFonts w:ascii="Calibri" w:eastAsia="Times New Roman" w:hAnsi="Calibri" w:cs="Times New Roman"/>
                <w:b/>
                <w:bCs/>
                <w:color w:val="C0504D"/>
                <w:sz w:val="16"/>
                <w:szCs w:val="16"/>
              </w:rPr>
              <w:t>0</w:t>
            </w:r>
          </w:p>
        </w:tc>
      </w:tr>
    </w:tbl>
    <w:p w:rsidR="00CA1762" w:rsidRPr="00CA1762" w:rsidRDefault="00CA1762" w:rsidP="00DC7F3C">
      <w:pPr>
        <w:ind w:left="-567" w:firstLine="567"/>
        <w:jc w:val="center"/>
        <w:rPr>
          <w:sz w:val="16"/>
          <w:szCs w:val="16"/>
        </w:rPr>
      </w:pPr>
    </w:p>
    <w:sectPr w:rsidR="00CA1762" w:rsidRPr="00CA1762" w:rsidSect="00D6240C">
      <w:type w:val="oddPage"/>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E10ADA"/>
    <w:rsid w:val="002D6235"/>
    <w:rsid w:val="003C3A77"/>
    <w:rsid w:val="00500E87"/>
    <w:rsid w:val="00530638"/>
    <w:rsid w:val="00596D83"/>
    <w:rsid w:val="00863E46"/>
    <w:rsid w:val="009E6B8D"/>
    <w:rsid w:val="00A978E2"/>
    <w:rsid w:val="00C74E4F"/>
    <w:rsid w:val="00CA1762"/>
    <w:rsid w:val="00D6240C"/>
    <w:rsid w:val="00D63BC0"/>
    <w:rsid w:val="00D863CC"/>
    <w:rsid w:val="00DC7F3C"/>
    <w:rsid w:val="00E10ADA"/>
    <w:rsid w:val="00F759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308475">
      <w:bodyDiv w:val="1"/>
      <w:marLeft w:val="0"/>
      <w:marRight w:val="0"/>
      <w:marTop w:val="0"/>
      <w:marBottom w:val="0"/>
      <w:divBdr>
        <w:top w:val="none" w:sz="0" w:space="0" w:color="auto"/>
        <w:left w:val="none" w:sz="0" w:space="0" w:color="auto"/>
        <w:bottom w:val="none" w:sz="0" w:space="0" w:color="auto"/>
        <w:right w:val="none" w:sz="0" w:space="0" w:color="auto"/>
      </w:divBdr>
    </w:div>
    <w:div w:id="727067953">
      <w:bodyDiv w:val="1"/>
      <w:marLeft w:val="0"/>
      <w:marRight w:val="0"/>
      <w:marTop w:val="0"/>
      <w:marBottom w:val="0"/>
      <w:divBdr>
        <w:top w:val="none" w:sz="0" w:space="0" w:color="auto"/>
        <w:left w:val="none" w:sz="0" w:space="0" w:color="auto"/>
        <w:bottom w:val="none" w:sz="0" w:space="0" w:color="auto"/>
        <w:right w:val="none" w:sz="0" w:space="0" w:color="auto"/>
      </w:divBdr>
    </w:div>
    <w:div w:id="962074577">
      <w:bodyDiv w:val="1"/>
      <w:marLeft w:val="0"/>
      <w:marRight w:val="0"/>
      <w:marTop w:val="0"/>
      <w:marBottom w:val="0"/>
      <w:divBdr>
        <w:top w:val="none" w:sz="0" w:space="0" w:color="auto"/>
        <w:left w:val="none" w:sz="0" w:space="0" w:color="auto"/>
        <w:bottom w:val="none" w:sz="0" w:space="0" w:color="auto"/>
        <w:right w:val="none" w:sz="0" w:space="0" w:color="auto"/>
      </w:divBdr>
    </w:div>
    <w:div w:id="1070617074">
      <w:bodyDiv w:val="1"/>
      <w:marLeft w:val="0"/>
      <w:marRight w:val="0"/>
      <w:marTop w:val="0"/>
      <w:marBottom w:val="0"/>
      <w:divBdr>
        <w:top w:val="none" w:sz="0" w:space="0" w:color="auto"/>
        <w:left w:val="none" w:sz="0" w:space="0" w:color="auto"/>
        <w:bottom w:val="none" w:sz="0" w:space="0" w:color="auto"/>
        <w:right w:val="none" w:sz="0" w:space="0" w:color="auto"/>
      </w:divBdr>
    </w:div>
    <w:div w:id="116466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bd\Desktop\Yeni%20Microsoft%20Office%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stacked"/>
        <c:ser>
          <c:idx val="1"/>
          <c:order val="0"/>
          <c:spPr>
            <a:ln w="28575">
              <a:noFill/>
            </a:ln>
          </c:spPr>
          <c:dLbls>
            <c:dLbl>
              <c:idx val="0"/>
              <c:layout>
                <c:manualLayout>
                  <c:x val="0"/>
                  <c:y val="-6.2745098039215796E-2"/>
                </c:manualLayout>
              </c:layout>
              <c:showVal val="1"/>
            </c:dLbl>
            <c:dLbl>
              <c:idx val="1"/>
              <c:layout>
                <c:manualLayout>
                  <c:x val="5.6737588652482334E-3"/>
                  <c:y val="-0.38976475614966843"/>
                </c:manualLayout>
              </c:layout>
              <c:showVal val="1"/>
            </c:dLbl>
            <c:dLbl>
              <c:idx val="2"/>
              <c:layout>
                <c:manualLayout>
                  <c:x val="2.8368794326241137E-3"/>
                  <c:y val="-0.22694356601651219"/>
                </c:manualLayout>
              </c:layout>
              <c:showVal val="1"/>
            </c:dLbl>
            <c:dLbl>
              <c:idx val="3"/>
              <c:layout>
                <c:manualLayout>
                  <c:x val="0"/>
                  <c:y val="-0.14062918879326144"/>
                </c:manualLayout>
              </c:layout>
              <c:showVal val="1"/>
            </c:dLbl>
            <c:dLbl>
              <c:idx val="4"/>
              <c:layout>
                <c:manualLayout>
                  <c:x val="0"/>
                  <c:y val="-7.8431563979030991E-2"/>
                </c:manualLayout>
              </c:layout>
              <c:showVal val="1"/>
            </c:dLbl>
            <c:showVal val="1"/>
          </c:dLbls>
          <c:cat>
            <c:strRef>
              <c:f>Sayfa1!$H$2:$H$6</c:f>
              <c:strCache>
                <c:ptCount val="5"/>
                <c:pt idx="0">
                  <c:v>Çok Memnunum </c:v>
                </c:pt>
                <c:pt idx="1">
                  <c:v>Memnunum</c:v>
                </c:pt>
                <c:pt idx="2">
                  <c:v>Kararsızım</c:v>
                </c:pt>
                <c:pt idx="3">
                  <c:v>Memnun Değilim </c:v>
                </c:pt>
                <c:pt idx="4">
                  <c:v>Hiç Memnun Değilim </c:v>
                </c:pt>
              </c:strCache>
            </c:strRef>
          </c:cat>
          <c:val>
            <c:numRef>
              <c:f>Sayfa1!$J$2:$J$6</c:f>
              <c:numCache>
                <c:formatCode>0.00</c:formatCode>
                <c:ptCount val="5"/>
                <c:pt idx="0">
                  <c:v>3.2941176470588251</c:v>
                </c:pt>
                <c:pt idx="1">
                  <c:v>47.737024221453275</c:v>
                </c:pt>
                <c:pt idx="2">
                  <c:v>27.361591695501726</c:v>
                </c:pt>
                <c:pt idx="3">
                  <c:v>12.910899653979257</c:v>
                </c:pt>
                <c:pt idx="4">
                  <c:v>4.8235294117647074</c:v>
                </c:pt>
              </c:numCache>
            </c:numRef>
          </c:val>
        </c:ser>
        <c:ser>
          <c:idx val="2"/>
          <c:order val="1"/>
          <c:spPr>
            <a:ln w="28575">
              <a:noFill/>
            </a:ln>
          </c:spPr>
          <c:cat>
            <c:strRef>
              <c:f>Sayfa1!$H$2:$H$6</c:f>
              <c:strCache>
                <c:ptCount val="5"/>
                <c:pt idx="0">
                  <c:v>Çok Memnunum </c:v>
                </c:pt>
                <c:pt idx="1">
                  <c:v>Memnunum</c:v>
                </c:pt>
                <c:pt idx="2">
                  <c:v>Kararsızım</c:v>
                </c:pt>
                <c:pt idx="3">
                  <c:v>Memnun Değilim </c:v>
                </c:pt>
                <c:pt idx="4">
                  <c:v>Hiç Memnun Değilim </c:v>
                </c:pt>
              </c:strCache>
            </c:strRef>
          </c:cat>
          <c:val>
            <c:numRef>
              <c:f>Sayfa1!$K$2:$K$6</c:f>
              <c:numCache>
                <c:formatCode>0%</c:formatCode>
                <c:ptCount val="5"/>
                <c:pt idx="0">
                  <c:v>3.2900000000000047E-2</c:v>
                </c:pt>
                <c:pt idx="1">
                  <c:v>0.47740000000000032</c:v>
                </c:pt>
                <c:pt idx="2">
                  <c:v>0.27360000000000001</c:v>
                </c:pt>
                <c:pt idx="3">
                  <c:v>0.12909999999999999</c:v>
                </c:pt>
                <c:pt idx="4">
                  <c:v>4.8200000000000007E-2</c:v>
                </c:pt>
              </c:numCache>
            </c:numRef>
          </c:val>
        </c:ser>
        <c:overlap val="100"/>
        <c:axId val="82159872"/>
        <c:axId val="98746752"/>
      </c:barChart>
      <c:catAx>
        <c:axId val="82159872"/>
        <c:scaling>
          <c:orientation val="minMax"/>
        </c:scaling>
        <c:axPos val="b"/>
        <c:tickLblPos val="nextTo"/>
        <c:crossAx val="98746752"/>
        <c:crosses val="autoZero"/>
        <c:auto val="1"/>
        <c:lblAlgn val="ctr"/>
        <c:lblOffset val="100"/>
      </c:catAx>
      <c:valAx>
        <c:axId val="98746752"/>
        <c:scaling>
          <c:orientation val="minMax"/>
        </c:scaling>
        <c:axPos val="l"/>
        <c:majorGridlines/>
        <c:numFmt formatCode="0.00" sourceLinked="1"/>
        <c:tickLblPos val="nextTo"/>
        <c:crossAx val="8215987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467</Words>
  <Characters>2664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dc:creator>
  <cp:keywords/>
  <dc:description/>
  <cp:lastModifiedBy>Abd</cp:lastModifiedBy>
  <cp:revision>12</cp:revision>
  <dcterms:created xsi:type="dcterms:W3CDTF">2022-06-07T05:38:00Z</dcterms:created>
  <dcterms:modified xsi:type="dcterms:W3CDTF">2022-06-07T13:12:00Z</dcterms:modified>
</cp:coreProperties>
</file>