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4C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C77CA">
              <w:rPr>
                <w:rFonts w:ascii="Times New Roman" w:eastAsiaTheme="minorEastAsia" w:hAnsi="Times New Roman" w:cs="Times New Roman"/>
                <w:lang w:eastAsia="tr-TR"/>
              </w:rPr>
              <w:t>Yardımcı Hizmetler</w:t>
            </w:r>
            <w:r w:rsidR="005E351E" w:rsidRPr="005E351E">
              <w:rPr>
                <w:rFonts w:ascii="Times New Roman" w:eastAsiaTheme="minorEastAsia" w:hAnsi="Times New Roman" w:cs="Times New Roman"/>
                <w:lang w:eastAsia="tr-TR"/>
              </w:rPr>
              <w:t xml:space="preserve">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5E35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C4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5E351E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457388" w:rsidP="00D8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Hasta Kayıt Kabul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45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Sekreter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5E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Sürekli İşçi(4/D)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457388" w:rsidP="005B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Fakülte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tr-TR"/>
              </w:rPr>
              <w:t>Sekreteri ,</w:t>
            </w:r>
            <w:r w:rsidR="005B2E79">
              <w:rPr>
                <w:rFonts w:ascii="Times New Roman" w:eastAsiaTheme="minorEastAsia" w:hAnsi="Times New Roman" w:cs="Times New Roman"/>
                <w:lang w:eastAsia="tr-TR"/>
              </w:rPr>
              <w:t>Etik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Kurulu Başkanı,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86C75" w:rsidRDefault="00D4376A" w:rsidP="000101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86C75" w:rsidRDefault="00457388" w:rsidP="0045738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Sorumlu olduğu bölümün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sekreterlik hizmetlerinin düzenli, etkili, verimli bir biçimde yerine getirilmesi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0101C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Kurula yapılacak başvuruların teslim alınması ve başvuru formlarının düzenlenmesini yapmak.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 xml:space="preserve">Kurula, değerlendirmek üzere sunulan tüm dosyaları kontrol listelerine göre ön incelemeye </w:t>
            </w:r>
            <w:proofErr w:type="spellStart"/>
            <w:proofErr w:type="gramStart"/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almak,geelen</w:t>
            </w:r>
            <w:proofErr w:type="spellEnd"/>
            <w:proofErr w:type="gramEnd"/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 xml:space="preserve">, </w:t>
            </w:r>
            <w:proofErr w:type="spellStart"/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giden,ve</w:t>
            </w:r>
            <w:proofErr w:type="spellEnd"/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 xml:space="preserve"> zimmet defterine kayıt yapmak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Ön incelemede saptanan eksikliklerin tamamlanması amacı ile ilgili kişilere bildirilmesi ve eksiklerin tamamlanmasından sonra dosyaların işleme alınmasını sağlamak.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Etik kurul gündemini oluşturup toplantı için başkanlığa sunmak ve etik kurul üyelerine bildirimde bulunmak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Düzenli aralıklarla yapılan etik kurul toplantılarını kurul başkanının talimatları doğrultusunda organize etmek.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Etik kurul toplantılarının karar kayıtlarını tutmak.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Toplantıda alınan kararları yazmak ve Etik Kurul üyelerine imzalatmak.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bCs/>
                <w:lang w:eastAsia="tr-TR"/>
              </w:rPr>
              <w:t>Değerlendirilmek üzere gönderilen tüm dosya ve belgeleri niteliğine göre arşivlemek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proofErr w:type="gramStart"/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Sorumlu olduğu bölümün sekreterlik hizmetlerini yapmak.</w:t>
            </w:r>
            <w:proofErr w:type="gramEnd"/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proofErr w:type="gramStart"/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Güncel iş takibini</w:t>
            </w:r>
            <w:r w:rsidRPr="005B2E79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  <w:proofErr w:type="gramEnd"/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67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proofErr w:type="gramStart"/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Bölümün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kırtasiye,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demirbaş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eşya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vb.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ihtiyaçlarının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zamanında</w:t>
            </w:r>
            <w:r w:rsidRPr="005B2E79">
              <w:rPr>
                <w:rFonts w:ascii="Times New Roman" w:eastAsiaTheme="minorEastAsia" w:hAnsi="Times New Roman" w:cs="Times New Roman"/>
                <w:spacing w:val="-3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istenip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temin</w:t>
            </w:r>
            <w:r w:rsidRPr="005B2E79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edilmesini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  <w:proofErr w:type="gramEnd"/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Bölüme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ait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resmi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belge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bilgileri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ilgisiz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kişilere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vermemek,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Bölümde</w:t>
            </w:r>
            <w:r w:rsidRPr="005B2E79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gizliliğe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önem</w:t>
            </w:r>
            <w:r w:rsidRPr="005B2E79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vermek,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işlemlerin doğru, hızlı ve güvenilir bir şekilde sonuçlanması ilkesinden ayrılmamak.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Görevleriyle</w:t>
            </w:r>
            <w:r w:rsidRPr="005B2E79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5B2E79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evrak,</w:t>
            </w:r>
            <w:r w:rsidRPr="005B2E79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taşınır</w:t>
            </w:r>
            <w:r w:rsidRPr="005B2E79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taşınmaz</w:t>
            </w:r>
            <w:r w:rsidRPr="005B2E79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malları</w:t>
            </w:r>
            <w:r w:rsidRPr="005B2E79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korumak,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saklamak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Kendisine verilen görevleri zamanında, eksiksiz, işgücü, zaman ve malzeme tasarrufu sağlayacak şekilde yerine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getirmek.</w:t>
            </w:r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Kendi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sorumluluğunda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büro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makineleri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demirbaşların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hasara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korunması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için gerekli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tedbirleri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almak.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proofErr w:type="gramStart"/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Sorumluluğundaki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mevcut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araç,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gereç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malzemenin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yerinde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 ekonomik kullanılmasını</w:t>
            </w:r>
            <w:r w:rsidRPr="005B2E79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  <w:proofErr w:type="gramEnd"/>
          </w:p>
          <w:p w:rsidR="005B2E79" w:rsidRPr="005B2E79" w:rsidRDefault="005B2E79" w:rsidP="000101C3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proofErr w:type="gramStart"/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Sekreterinin ,Etik</w:t>
            </w:r>
            <w:proofErr w:type="gramEnd"/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 xml:space="preserve"> Kurul  Başkanının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5B2E79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5B2E79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5B2E79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5B2E79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D4376A" w:rsidRPr="00D86C75" w:rsidRDefault="005B2E79" w:rsidP="000101C3">
            <w:pPr>
              <w:pStyle w:val="ListeParagraf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Bölüm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Sekreteri,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5B2E79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Sekreterine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Etik Kurul Başkanına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5B2E79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5B2E79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B2E79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0101C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0101C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0101C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4C77CA" w:rsidP="0018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Var (</w:t>
            </w:r>
            <w:r w:rsidR="009D6EBC">
              <w:rPr>
                <w:rFonts w:ascii="Times New Roman" w:eastAsiaTheme="minorEastAsia" w:hAnsi="Times New Roman" w:cs="Times New Roman"/>
                <w:lang w:eastAsia="tr-TR"/>
              </w:rPr>
              <w:t>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0101C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45738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5738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Fiziksel Çaba                   [ </w:t>
            </w:r>
            <w:r w:rsidR="00457388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</w:t>
            </w:r>
            <w:r w:rsidR="00EE4A18">
              <w:rPr>
                <w:rFonts w:ascii="Times New Roman" w:hAnsi="Times New Roman" w:cs="Times New Roman"/>
              </w:rPr>
              <w:t xml:space="preserve"> </w:t>
            </w:r>
            <w:r w:rsidR="004C77C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5B2E79" w:rsidRDefault="00017C48" w:rsidP="000101C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0101C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87AC4" w:rsidRPr="00AB7723" w:rsidRDefault="005B2E79" w:rsidP="00187AC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lastRenderedPageBreak/>
              <w:t xml:space="preserve">Alanı ile ilgili eğitim almış olmak veya “Bilgisayar İşletmeni </w:t>
            </w:r>
            <w:proofErr w:type="spellStart"/>
            <w:r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Sertifikası”na</w:t>
            </w:r>
            <w:proofErr w:type="spellEnd"/>
            <w:r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sahip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0101C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0101C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F33AF5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0101C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Dikkatli.</w:t>
            </w:r>
          </w:p>
          <w:p w:rsidR="00457388" w:rsidRPr="00631601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Düzgün konuşma yeteneğine sahip.</w:t>
            </w:r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Düzenli ve disiplinli çalışma.</w:t>
            </w:r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Ekip çalışmasına uyumlu ve katılımcı.</w:t>
            </w:r>
            <w:proofErr w:type="gramEnd"/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Güçlü hafıza.</w:t>
            </w:r>
          </w:p>
          <w:p w:rsidR="00457388" w:rsidRPr="00631601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Hızlı düşünme ve karar verebilme.</w:t>
            </w:r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Ofis programlarını etkin kullanabilme.</w:t>
            </w:r>
            <w:proofErr w:type="gramEnd"/>
          </w:p>
          <w:p w:rsidR="00457388" w:rsidRPr="00631601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Ofis gereçlerini kullanabilme (yazıcı, faks vb.).</w:t>
            </w:r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Sorun çözebilme.</w:t>
            </w:r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Sonuç odaklı olma.</w:t>
            </w:r>
          </w:p>
          <w:p w:rsidR="00457388" w:rsidRPr="00631601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Sorumluluk alabilme.</w:t>
            </w:r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Üst ve astlarla diyalog.</w:t>
            </w:r>
            <w:proofErr w:type="gramEnd"/>
          </w:p>
          <w:p w:rsidR="00457388" w:rsidRPr="006F4226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Yoğun tempoda çalışabilme.</w:t>
            </w:r>
            <w:proofErr w:type="gramEnd"/>
          </w:p>
          <w:p w:rsidR="00DC0E82" w:rsidRPr="009D6EBC" w:rsidRDefault="00457388" w:rsidP="000101C3">
            <w:pPr>
              <w:widowControl w:val="0"/>
              <w:numPr>
                <w:ilvl w:val="0"/>
                <w:numId w:val="5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proofErr w:type="gramStart"/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Etkili zaman yönetimi</w:t>
            </w:r>
            <w:r w:rsidRPr="006F4226"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  <w:t>.</w:t>
            </w:r>
            <w:proofErr w:type="gram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C3" w:rsidRDefault="000101C3" w:rsidP="00D4376A">
      <w:pPr>
        <w:spacing w:after="0" w:line="240" w:lineRule="auto"/>
      </w:pPr>
      <w:r>
        <w:separator/>
      </w:r>
    </w:p>
  </w:endnote>
  <w:endnote w:type="continuationSeparator" w:id="0">
    <w:p w:rsidR="000101C3" w:rsidRDefault="000101C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6D" w:rsidRDefault="00F010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F0106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6D" w:rsidRDefault="00F010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C3" w:rsidRDefault="000101C3" w:rsidP="00D4376A">
      <w:pPr>
        <w:spacing w:after="0" w:line="240" w:lineRule="auto"/>
      </w:pPr>
      <w:r>
        <w:separator/>
      </w:r>
    </w:p>
  </w:footnote>
  <w:footnote w:type="continuationSeparator" w:id="0">
    <w:p w:rsidR="000101C3" w:rsidRDefault="000101C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6D" w:rsidRDefault="00F010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0106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EE4A18" w:rsidRDefault="005B2E79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ETİK</w:t>
          </w:r>
          <w:r w:rsidR="00457388">
            <w:rPr>
              <w:rFonts w:ascii="Times New Roman" w:hAnsi="Times New Roman" w:cs="Times New Roman"/>
              <w:b/>
              <w:sz w:val="30"/>
              <w:szCs w:val="30"/>
            </w:rPr>
            <w:t xml:space="preserve"> KURULU SEKRETERİ</w:t>
          </w:r>
        </w:p>
        <w:p w:rsidR="00D4376A" w:rsidRPr="00187AC4" w:rsidRDefault="00D4376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45738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9D6EBC">
            <w:rPr>
              <w:rFonts w:ascii="Times New Roman" w:hAnsi="Times New Roman" w:cs="Times New Roman"/>
              <w:b/>
              <w:bCs/>
              <w:sz w:val="18"/>
              <w:szCs w:val="18"/>
            </w:rPr>
            <w:t>02</w:t>
          </w:r>
          <w:r w:rsidR="005B2E79"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F0106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6D" w:rsidRDefault="00F010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843"/>
    <w:multiLevelType w:val="hybridMultilevel"/>
    <w:tmpl w:val="111A7C7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897"/>
    <w:multiLevelType w:val="hybridMultilevel"/>
    <w:tmpl w:val="B88C71E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01C3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87AC4"/>
    <w:rsid w:val="00191F0D"/>
    <w:rsid w:val="001A2306"/>
    <w:rsid w:val="001E74F5"/>
    <w:rsid w:val="00206149"/>
    <w:rsid w:val="002264AE"/>
    <w:rsid w:val="002305DB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20B77"/>
    <w:rsid w:val="004360BA"/>
    <w:rsid w:val="004423D5"/>
    <w:rsid w:val="0044780C"/>
    <w:rsid w:val="00452FB2"/>
    <w:rsid w:val="00455A8D"/>
    <w:rsid w:val="00457388"/>
    <w:rsid w:val="00474DFB"/>
    <w:rsid w:val="00475E07"/>
    <w:rsid w:val="00493D97"/>
    <w:rsid w:val="004A3624"/>
    <w:rsid w:val="004B5AE8"/>
    <w:rsid w:val="004C48B7"/>
    <w:rsid w:val="004C5513"/>
    <w:rsid w:val="004C77CA"/>
    <w:rsid w:val="00524079"/>
    <w:rsid w:val="00526A0F"/>
    <w:rsid w:val="00556536"/>
    <w:rsid w:val="005B2E79"/>
    <w:rsid w:val="005C1755"/>
    <w:rsid w:val="005E351E"/>
    <w:rsid w:val="005F644E"/>
    <w:rsid w:val="00613890"/>
    <w:rsid w:val="006330E8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15C10"/>
    <w:rsid w:val="00927A3A"/>
    <w:rsid w:val="00946989"/>
    <w:rsid w:val="00953311"/>
    <w:rsid w:val="009C54EB"/>
    <w:rsid w:val="009D497C"/>
    <w:rsid w:val="009D6EBC"/>
    <w:rsid w:val="009E0A1D"/>
    <w:rsid w:val="00A0008C"/>
    <w:rsid w:val="00A21A48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86C75"/>
    <w:rsid w:val="00DC0E82"/>
    <w:rsid w:val="00E67A00"/>
    <w:rsid w:val="00EE4A18"/>
    <w:rsid w:val="00EE6785"/>
    <w:rsid w:val="00EF1B90"/>
    <w:rsid w:val="00F0106D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2019-01-22T07:50:00Z</dcterms:created>
  <dcterms:modified xsi:type="dcterms:W3CDTF">2020-08-19T06:09:00Z</dcterms:modified>
</cp:coreProperties>
</file>