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3AF5">
              <w:rPr>
                <w:rFonts w:ascii="Times New Roman" w:eastAsiaTheme="minorEastAsia" w:hAnsi="Times New Roman" w:cs="Times New Roman"/>
                <w:lang w:eastAsia="tr-TR"/>
              </w:rPr>
              <w:t>Personel İşleri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F33AF5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F33AF5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 xml:space="preserve">[ 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F33AF5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F33AF5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F33AF5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Personel İşleri Biriminde çalışan personeli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Fakülte akademik ve idari personelinin özlük haklarına ilişkin iş ve işlemlerinin (terfi, atama, görevlendirme, intibak, emeklilik vb.) ilgili kanun, mevzuat ve yönetmelikler çerçevesinde yerine getirilmesi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F33AF5" w:rsidRDefault="00D4376A" w:rsidP="00F33A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836F8">
              <w:rPr>
                <w:rFonts w:ascii="Times New Roman" w:eastAsia="Times New Roman" w:hAnsi="Times New Roman" w:cs="Times New Roman"/>
              </w:rPr>
              <w:t>Personel İşleri Biriminin tüm iş ve faaliyetlerinin takibi</w:t>
            </w:r>
            <w:r>
              <w:rPr>
                <w:rFonts w:ascii="Times New Roman" w:eastAsia="Times New Roman" w:hAnsi="Times New Roman" w:cs="Times New Roman"/>
              </w:rPr>
              <w:t>ni yapmak ve</w:t>
            </w:r>
            <w:r w:rsidRPr="004836F8">
              <w:rPr>
                <w:rFonts w:ascii="Times New Roman" w:eastAsia="Times New Roman" w:hAnsi="Times New Roman" w:cs="Times New Roman"/>
              </w:rPr>
              <w:t xml:space="preserve"> yürütülmesini sağlamak.</w:t>
            </w:r>
            <w:proofErr w:type="gramEnd"/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836F8">
              <w:rPr>
                <w:rFonts w:ascii="Times New Roman" w:eastAsia="Times New Roman" w:hAnsi="Times New Roman" w:cs="Times New Roman"/>
              </w:rPr>
              <w:t>Personel İşleri Biriminde yürütülen faaliyetlerle ilgili kanun, yönetmelik, yönergeler kapsamında kurum içi ve kurum dışı yazışmaları Dekanlık Makamınca verilen talimatlar doğrultusunda zamanında cevaplandırılmasını sağlamak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836F8">
              <w:rPr>
                <w:rFonts w:ascii="Times New Roman" w:eastAsia="Times New Roman" w:hAnsi="Times New Roman" w:cs="Times New Roman"/>
              </w:rPr>
              <w:t>Birimin resmi kurallar çerçevesinde düzenini sağlamak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836F8">
              <w:rPr>
                <w:rFonts w:ascii="Times New Roman" w:eastAsia="Times New Roman" w:hAnsi="Times New Roman" w:cs="Times New Roman"/>
              </w:rPr>
              <w:t>Birim ile ilgili ihtiyaçları belirleyerek temini için Fakülte Sekreterine sunmak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836F8">
              <w:rPr>
                <w:rFonts w:ascii="Times New Roman" w:eastAsia="Times New Roman" w:hAnsi="Times New Roman" w:cs="Times New Roman"/>
              </w:rPr>
              <w:t>Birimde yürütülen faaliyetlerle ilgili istatistiki bilgileri tutmak ve gerektiğinde kullanılmak üzere elektronik ortamda ve ev</w:t>
            </w:r>
            <w:r>
              <w:rPr>
                <w:rFonts w:ascii="Times New Roman" w:eastAsia="Times New Roman" w:hAnsi="Times New Roman" w:cs="Times New Roman"/>
              </w:rPr>
              <w:t>rak olarak dosyalanmasını sağlamak</w:t>
            </w:r>
            <w:r w:rsidRPr="004836F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836F8">
              <w:rPr>
                <w:rFonts w:ascii="Times New Roman" w:eastAsia="Times New Roman" w:hAnsi="Times New Roman" w:cs="Times New Roman"/>
              </w:rPr>
              <w:t xml:space="preserve">Birimde yürütülen faaliyetlerin daha düzenli ve ulaşılabilir olması </w:t>
            </w:r>
            <w:r>
              <w:rPr>
                <w:rFonts w:ascii="Times New Roman" w:eastAsia="Times New Roman" w:hAnsi="Times New Roman" w:cs="Times New Roman"/>
              </w:rPr>
              <w:t>için gerekli tedbirleri alarak</w:t>
            </w:r>
            <w:r w:rsidRPr="004836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düzeni kurmak</w:t>
            </w:r>
            <w:r w:rsidRPr="004836F8">
              <w:rPr>
                <w:rFonts w:ascii="Times New Roman" w:eastAsia="Times New Roman" w:hAnsi="Times New Roman" w:cs="Times New Roman"/>
              </w:rPr>
              <w:t>.</w:t>
            </w:r>
          </w:p>
          <w:p w:rsidR="00F33AF5" w:rsidRPr="004836F8" w:rsidRDefault="00F33AF5" w:rsidP="00F33AF5">
            <w:pPr>
              <w:numPr>
                <w:ilvl w:val="0"/>
                <w:numId w:val="20"/>
              </w:numPr>
              <w:snapToGrid w:val="0"/>
              <w:ind w:left="1068"/>
              <w:jc w:val="both"/>
              <w:rPr>
                <w:rFonts w:ascii="Times New Roman" w:eastAsia="Calibri" w:hAnsi="Times New Roman" w:cs="Times New Roman"/>
              </w:rPr>
            </w:pPr>
            <w:r w:rsidRPr="004836F8">
              <w:rPr>
                <w:rFonts w:ascii="Times New Roman" w:eastAsia="Calibri" w:hAnsi="Times New Roman" w:cs="Times New Roman"/>
              </w:rPr>
              <w:t>Birimi amirleri tarafından sevk edilen evrakların birim personeline dağıtımını ve yapılacak işlemle ilgili olarak takip ve denetimi yapmak.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Sorumlu olduğu birim personeli tarafından hazırlanan yazı ve dosyaları içerik ve biçim yönünden incelemek gerekli düzeltmelerin yapılmasını sağlamak,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Birimde üretilen belgelerin dosya numarası, tarihi, gideceği yeri, imza ve benzeri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eksiklikleri inceleyerek gerekli önlemleri almak,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Tamamlanmış olan </w:t>
            </w:r>
            <w:proofErr w:type="gramStart"/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belgeleri  ilgililere</w:t>
            </w:r>
            <w:proofErr w:type="gramEnd"/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dağıtarak kontrollerini yaptırmak, kayıt numarası verilmesini sağlamak,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İşlemi bitmemiş belgeleri ilgili personeli ile birlikte izleyerek sonuçlandırmak,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Gelen ve giden evrakın kayıt, çoğaltma, dağıtım, dosyalama, sevk ve </w:t>
            </w:r>
            <w:proofErr w:type="spellStart"/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arşivlemehizmetlerini</w:t>
            </w:r>
            <w:proofErr w:type="spellEnd"/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izlemek ve yapılmasını sağlamak,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Biriminde görevli personeli  hizmete ilişkin işlemler konusunda </w:t>
            </w:r>
            <w:proofErr w:type="spellStart"/>
            <w:proofErr w:type="gramStart"/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bilgilendirmek,işlerin</w:t>
            </w:r>
            <w:proofErr w:type="spellEnd"/>
            <w:proofErr w:type="gramEnd"/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verimliliğini artırmak için yöntemler geliştirmek,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Gizliliği olan belgelerle ilgili mevzuata uygun önlemleri almak,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36F8">
              <w:rPr>
                <w:rFonts w:ascii="Times New Roman" w:eastAsia="Calibri" w:hAnsi="Times New Roman" w:cs="Times New Roman"/>
                <w:color w:val="000000"/>
              </w:rPr>
              <w:t xml:space="preserve">Biriminde görevli personelin </w:t>
            </w:r>
            <w:r w:rsidRPr="004836F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devam ve çalışmalarını izlemek, işlerin zamanında sonuçlandırılmasını sağlamak,</w:t>
            </w:r>
          </w:p>
          <w:p w:rsidR="00F33AF5" w:rsidRPr="004836F8" w:rsidRDefault="00F33AF5" w:rsidP="00F33AF5">
            <w:pPr>
              <w:numPr>
                <w:ilvl w:val="0"/>
                <w:numId w:val="19"/>
              </w:numPr>
              <w:snapToGrid w:val="0"/>
              <w:ind w:left="1068"/>
              <w:jc w:val="both"/>
              <w:rPr>
                <w:rFonts w:ascii="Times New Roman" w:eastAsia="Calibri" w:hAnsi="Times New Roman" w:cs="Times New Roman"/>
              </w:rPr>
            </w:pPr>
            <w:r w:rsidRPr="004836F8">
              <w:rPr>
                <w:rFonts w:ascii="Times New Roman" w:eastAsia="Calibri" w:hAnsi="Times New Roman" w:cs="Times New Roman"/>
              </w:rPr>
              <w:t xml:space="preserve">Gerekli olduğu takdirde birimi ile ilgili ISO 9000:2015 </w:t>
            </w:r>
            <w:proofErr w:type="gramStart"/>
            <w:r w:rsidRPr="004836F8">
              <w:rPr>
                <w:rFonts w:ascii="Times New Roman" w:eastAsia="Calibri" w:hAnsi="Times New Roman" w:cs="Times New Roman"/>
              </w:rPr>
              <w:t>prosedürlerinin</w:t>
            </w:r>
            <w:proofErr w:type="gramEnd"/>
            <w:r w:rsidRPr="004836F8">
              <w:rPr>
                <w:rFonts w:ascii="Times New Roman" w:eastAsia="Calibri" w:hAnsi="Times New Roman" w:cs="Times New Roman"/>
              </w:rPr>
              <w:t xml:space="preserve"> (içeriğinde talimat ve formların) değişikliği ve yeni doküman oluşturmak ile ilgili talepte bulunmak, bu dokümanların güncelliğini korumasını sağlamak,</w:t>
            </w:r>
          </w:p>
          <w:p w:rsidR="00F33AF5" w:rsidRDefault="00F33AF5" w:rsidP="00F33AF5">
            <w:pPr>
              <w:numPr>
                <w:ilvl w:val="0"/>
                <w:numId w:val="19"/>
              </w:numPr>
              <w:snapToGrid w:val="0"/>
              <w:ind w:left="1068"/>
              <w:jc w:val="both"/>
              <w:rPr>
                <w:rFonts w:ascii="Times New Roman" w:eastAsia="Calibri" w:hAnsi="Times New Roman" w:cs="Times New Roman"/>
              </w:rPr>
            </w:pPr>
            <w:r w:rsidRPr="004836F8">
              <w:rPr>
                <w:rFonts w:ascii="Times New Roman" w:eastAsia="Calibri" w:hAnsi="Times New Roman" w:cs="Times New Roman"/>
              </w:rPr>
              <w:t xml:space="preserve">Tüm çalışmalarını görev tanımlarına ve ISO 9001:2015 Kalite Güvence Sistemi </w:t>
            </w:r>
            <w:proofErr w:type="gramStart"/>
            <w:r w:rsidRPr="004836F8">
              <w:rPr>
                <w:rFonts w:ascii="Times New Roman" w:eastAsia="Calibri" w:hAnsi="Times New Roman" w:cs="Times New Roman"/>
              </w:rPr>
              <w:t>prosedürlerine</w:t>
            </w:r>
            <w:proofErr w:type="gramEnd"/>
            <w:r w:rsidRPr="004836F8">
              <w:rPr>
                <w:rFonts w:ascii="Times New Roman" w:eastAsia="Calibri" w:hAnsi="Times New Roman" w:cs="Times New Roman"/>
              </w:rPr>
              <w:t xml:space="preserve"> uygun olarak gerçekleştirmek, aynı prensiple gö</w:t>
            </w:r>
            <w:r>
              <w:rPr>
                <w:rFonts w:ascii="Times New Roman" w:eastAsia="Calibri" w:hAnsi="Times New Roman" w:cs="Times New Roman"/>
              </w:rPr>
              <w:t>rev yapmak,</w:t>
            </w:r>
          </w:p>
          <w:p w:rsidR="00F33AF5" w:rsidRPr="00F33AF5" w:rsidRDefault="00F33AF5" w:rsidP="00F33AF5">
            <w:pPr>
              <w:numPr>
                <w:ilvl w:val="0"/>
                <w:numId w:val="19"/>
              </w:numPr>
              <w:snapToGrid w:val="0"/>
              <w:ind w:left="1068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>Akademik ve İdari Personel İzin İşlemleri ve yazışmaların takibini yapmak.</w:t>
            </w:r>
            <w:proofErr w:type="gramEnd"/>
          </w:p>
          <w:p w:rsidR="00F33AF5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personelin Kurum İçi ve Kurum Dışı Ders Görevlendirme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Pr="00F33AF5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 xml:space="preserve">İzin ve Görevlendirme bilgilerinin </w:t>
            </w:r>
            <w:proofErr w:type="spellStart"/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>Probel</w:t>
            </w:r>
            <w:proofErr w:type="spellEnd"/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 xml:space="preserve"> İnsan Kaynakları sisteminde güncellenmesi işlemlerin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emeklilik, nakil ve istifa işlemleri ve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  <w:proofErr w:type="gramEnd"/>
          </w:p>
          <w:p w:rsidR="00F33AF5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Aylık Görevlendirme Listelerini Güncel Tutma ve Birimlere İletilme İşlemleri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nin takibini yapmak</w:t>
            </w:r>
          </w:p>
          <w:p w:rsidR="00F33AF5" w:rsidRDefault="00F33AF5" w:rsidP="00F33AF5">
            <w:pPr>
              <w:pStyle w:val="TableParagraph"/>
              <w:numPr>
                <w:ilvl w:val="0"/>
                <w:numId w:val="22"/>
              </w:numPr>
              <w:tabs>
                <w:tab w:val="left" w:pos="1100"/>
                <w:tab w:val="left" w:pos="1101"/>
              </w:tabs>
              <w:ind w:left="1068" w:right="113"/>
            </w:pPr>
            <w:r>
              <w:t xml:space="preserve">Uzmanlık eğitimi ile ilgili tüm iş ve işlemlerinin (kadro talebi, TUS/YDUS öğrenci kaydı, başlama, </w:t>
            </w:r>
            <w:proofErr w:type="gramStart"/>
            <w:r>
              <w:t>oryantasyon</w:t>
            </w:r>
            <w:proofErr w:type="gramEnd"/>
            <w:r>
              <w:t xml:space="preserve"> eğitimi, rotasyon, program yöneticisi kanaati, tez sınavı, eğitim süresi bilgi formunu düzenleme, uzmanlık sınavı, Sağlık Bakanlığı uzmanlık tescil belgesini düzenleme, ayrılış, nakil işlemleri vb.) takibini yapmak</w:t>
            </w:r>
          </w:p>
          <w:p w:rsidR="00F33AF5" w:rsidRPr="00BA0FEE" w:rsidRDefault="00F33AF5" w:rsidP="00F33AF5">
            <w:pPr>
              <w:pStyle w:val="TableParagraph"/>
              <w:numPr>
                <w:ilvl w:val="0"/>
                <w:numId w:val="22"/>
              </w:numPr>
              <w:tabs>
                <w:tab w:val="left" w:pos="1100"/>
                <w:tab w:val="left" w:pos="1101"/>
              </w:tabs>
              <w:ind w:left="1068" w:right="113"/>
            </w:pPr>
            <w:r>
              <w:t>CİMER başvuruları ile ilgili işlemleri ve yazışmaları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Kurum içi ve Kurum Dışı Rotasyon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Görev Süreleri işlemlerinin ve yazışmaları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nın takibini yapmak.</w:t>
            </w:r>
            <w:proofErr w:type="gramEnd"/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Disiplin, Yönetim ve Fakülte Kurulu Kararlarına ilişkin işlemlerin yerine getirilmesi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 sağlamak.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Görev Yeri Belgesi düzenleme işlemleri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nin yerine getirilmesini sağlamak.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Aylık Rotasyon Listelerini Güncel Tutma ve Birimlere İletilme İşlemleri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Dekan ve Dekan Yardımcısı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,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Bölüm Başkanlığı ve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Anabilim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/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Bilim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Dalı</w:t>
            </w:r>
            <w:proofErr w:type="gramEnd"/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Başkanlığı Atama, Görev Süreleri ve vekalet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Fiili Hizmet İşlemleri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Elektronik Belge (e-imza) Başvuru yazışmaları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nın yapılmasını sağlamak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Fakülte Kurulu, Yönetim Kurulu, Etik Kurul ve Yayın bürosu Üye Seçimleri il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e ilgili listelerin hazırlanmasını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ve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ının yapılmasını sağlamak.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Kurum Dışından Gelen Bilgi ve Belge Talebine ilişkin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 ve yapılmasını sağlamak.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Akademik ve İdari Personellere </w:t>
            </w:r>
            <w:proofErr w:type="spellStart"/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Probel</w:t>
            </w:r>
            <w:proofErr w:type="spellEnd"/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İnsan kaynakları Sisteminde kart açılması ve özlük bilgilerinin güncellenmesi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 ve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Personelin Askerlik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Personelin Hizmet Birleştirme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yapılmasını sağlamak.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ile ilgili gizli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ını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(soruşturma, inceleme, icra)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İş Sağlığı ve Güvenliği Kapsamında Yapılan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işlemler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ın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takibini 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tr-TR"/>
              </w:rPr>
              <w:t>apmak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Mecburi hizmete başlama ve bitirme işlemlerine dair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Pr="00314219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İl Sağlık Müdürlüğünden İstenen Bilgilerin iletilmesi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ın takibini yapmak.</w:t>
            </w:r>
          </w:p>
          <w:p w:rsidR="00F33AF5" w:rsidRDefault="00F33AF5" w:rsidP="00F33AF5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Diğer Genel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 ve yapılmasını sağlamak.</w:t>
            </w:r>
          </w:p>
          <w:p w:rsidR="00F33AF5" w:rsidRDefault="00F33AF5" w:rsidP="00F33AF5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F044A7">
              <w:rPr>
                <w:rFonts w:ascii="Times New Roman" w:eastAsiaTheme="minorEastAsia" w:hAnsi="Times New Roman" w:cs="Times New Roman"/>
                <w:lang w:eastAsia="tr-TR"/>
              </w:rPr>
              <w:t>Kendi sorumluluğunda olan bütün büro makineleri ve demirbaşların her türlü hasara karşı korunması için gerekli tedbirleri almak. Sorumluluğundaki mevcut araç, gereç ve her türlü malzemenin yerinde ve 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konomik kullanılmasını sağlamak</w:t>
            </w:r>
          </w:p>
          <w:p w:rsidR="00F33AF5" w:rsidRPr="00251E6E" w:rsidRDefault="00F33AF5" w:rsidP="00F33AF5">
            <w:pPr>
              <w:numPr>
                <w:ilvl w:val="0"/>
                <w:numId w:val="19"/>
              </w:numPr>
              <w:snapToGrid w:val="0"/>
              <w:ind w:left="1068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1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Birimini  ilgilendiren</w:t>
            </w:r>
            <w:proofErr w:type="gramEnd"/>
            <w:r w:rsidRPr="00251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konularda amirleri tarafından verilecek diğer görevleri yapmak.</w:t>
            </w:r>
          </w:p>
          <w:p w:rsidR="00F33AF5" w:rsidRDefault="00F33AF5" w:rsidP="00F33AF5">
            <w:pPr>
              <w:widowControl w:val="0"/>
              <w:numPr>
                <w:ilvl w:val="0"/>
                <w:numId w:val="19"/>
              </w:numPr>
              <w:ind w:left="1068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836F8">
              <w:rPr>
                <w:rFonts w:ascii="Times New Roman" w:eastAsia="Calibri" w:hAnsi="Times New Roman" w:cs="Times New Roman"/>
              </w:rPr>
              <w:t>Dekan, Dekan Yardımcıları ve Fakülte Sekreterinin vereceği diğer görevleri ya</w:t>
            </w:r>
            <w:r>
              <w:rPr>
                <w:rFonts w:ascii="Times New Roman" w:eastAsia="Calibri" w:hAnsi="Times New Roman" w:cs="Times New Roman"/>
              </w:rPr>
              <w:t>pmak.</w:t>
            </w:r>
            <w:proofErr w:type="gramEnd"/>
          </w:p>
          <w:p w:rsidR="00D4376A" w:rsidRPr="00F33AF5" w:rsidRDefault="00F33AF5" w:rsidP="00F33AF5">
            <w:pPr>
              <w:widowControl w:val="0"/>
              <w:numPr>
                <w:ilvl w:val="0"/>
                <w:numId w:val="19"/>
              </w:numPr>
              <w:ind w:left="106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3AF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Görevlerinden dolayı Fakülte Sekreterine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F33AF5" w:rsidRDefault="00F33AF5" w:rsidP="00716C1E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>Var 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F33AF5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proofErr w:type="spellStart"/>
            <w:r w:rsidR="00F33AF5">
              <w:rPr>
                <w:rFonts w:ascii="Times New Roman" w:hAnsi="Times New Roman" w:cs="Times New Roman"/>
              </w:rPr>
              <w:t>ön</w:t>
            </w:r>
            <w:r w:rsidR="00452FB2" w:rsidRPr="00452FB2">
              <w:rPr>
                <w:rFonts w:ascii="Times New Roman" w:hAnsi="Times New Roman" w:cs="Times New Roman"/>
              </w:rPr>
              <w:t>lis</w:t>
            </w:r>
            <w:r w:rsidR="00F33AF5">
              <w:rPr>
                <w:rFonts w:ascii="Times New Roman" w:hAnsi="Times New Roman" w:cs="Times New Roman"/>
              </w:rPr>
              <w:t>ans</w:t>
            </w:r>
            <w:proofErr w:type="spellEnd"/>
            <w:r w:rsidR="00452FB2" w:rsidRPr="00452FB2">
              <w:rPr>
                <w:rFonts w:ascii="Times New Roman" w:hAnsi="Times New Roman" w:cs="Times New Roman"/>
              </w:rPr>
              <w:t xml:space="preserve">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360BA" w:rsidRDefault="00017C48" w:rsidP="00493D97">
            <w:pPr>
              <w:pStyle w:val="ListeParagraf"/>
              <w:numPr>
                <w:ilvl w:val="0"/>
                <w:numId w:val="7"/>
              </w:numPr>
              <w:ind w:left="664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360B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Görevde yükselme sureti ile atanacaklar için, Yükseköğretim Üst Kuruluşları ile Yükseköğretim Kurumları Personel Görevde Yükselme Yönetmeliği hükümleri geçerlidir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F33AF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F33AF5" w:rsidRPr="002C1B35" w:rsidRDefault="00F33AF5" w:rsidP="00F33AF5">
            <w:pPr>
              <w:widowControl w:val="0"/>
              <w:numPr>
                <w:ilvl w:val="0"/>
                <w:numId w:val="25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Araştırmacı.</w:t>
            </w:r>
          </w:p>
          <w:p w:rsidR="00F33AF5" w:rsidRPr="002C1B35" w:rsidRDefault="00F33AF5" w:rsidP="00F33AF5">
            <w:pPr>
              <w:widowControl w:val="0"/>
              <w:numPr>
                <w:ilvl w:val="0"/>
                <w:numId w:val="25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Güvenilir.</w:t>
            </w:r>
          </w:p>
          <w:p w:rsidR="00F33AF5" w:rsidRPr="002C1B35" w:rsidRDefault="00F33AF5" w:rsidP="00F33AF5">
            <w:pPr>
              <w:widowControl w:val="0"/>
              <w:numPr>
                <w:ilvl w:val="0"/>
                <w:numId w:val="25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 xml:space="preserve">İyi </w:t>
            </w:r>
            <w:proofErr w:type="spellStart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iletişimkurabilen</w:t>
            </w:r>
            <w:proofErr w:type="spellEnd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  <w:p w:rsidR="00F33AF5" w:rsidRPr="002C1B35" w:rsidRDefault="00F33AF5" w:rsidP="00F33AF5">
            <w:pPr>
              <w:widowControl w:val="0"/>
              <w:numPr>
                <w:ilvl w:val="0"/>
                <w:numId w:val="25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 xml:space="preserve">Sorunlara pratik </w:t>
            </w:r>
            <w:proofErr w:type="spellStart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çözümlerüretebilen</w:t>
            </w:r>
            <w:proofErr w:type="spellEnd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  <w:p w:rsidR="00F33AF5" w:rsidRPr="002C1B35" w:rsidRDefault="00F33AF5" w:rsidP="00F33AF5">
            <w:pPr>
              <w:widowControl w:val="0"/>
              <w:numPr>
                <w:ilvl w:val="0"/>
                <w:numId w:val="25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 xml:space="preserve">Mevzuata </w:t>
            </w:r>
            <w:proofErr w:type="gramStart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hakim</w:t>
            </w:r>
            <w:proofErr w:type="gramEnd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 xml:space="preserve"> olan ve </w:t>
            </w:r>
            <w:proofErr w:type="spellStart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yorumyapabilen</w:t>
            </w:r>
            <w:proofErr w:type="spellEnd"/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  <w:p w:rsidR="00F33AF5" w:rsidRDefault="00F33AF5" w:rsidP="00F33AF5">
            <w:pPr>
              <w:widowControl w:val="0"/>
              <w:numPr>
                <w:ilvl w:val="0"/>
                <w:numId w:val="25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</w:p>
          <w:p w:rsidR="00F33AF5" w:rsidRDefault="00F33AF5" w:rsidP="00F33AF5">
            <w:pPr>
              <w:pStyle w:val="ListeParagraf"/>
              <w:numPr>
                <w:ilvl w:val="0"/>
                <w:numId w:val="25"/>
              </w:numPr>
              <w:rPr>
                <w:rFonts w:ascii="Times New Roman" w:eastAsiaTheme="minorEastAsia" w:hAnsi="Times New Roman" w:cs="Times New Roman"/>
                <w:lang w:eastAsia="tr-TR"/>
              </w:rPr>
            </w:pPr>
            <w:r w:rsidRPr="003F7324">
              <w:rPr>
                <w:rFonts w:ascii="Times New Roman" w:eastAsiaTheme="minorEastAsia" w:hAnsi="Times New Roman" w:cs="Times New Roman"/>
                <w:lang w:eastAsia="tr-TR"/>
              </w:rPr>
              <w:t>Sabırlı.</w:t>
            </w:r>
          </w:p>
          <w:p w:rsidR="00054B87" w:rsidRPr="00F33AF5" w:rsidRDefault="00F33AF5" w:rsidP="00F33AF5">
            <w:pPr>
              <w:pStyle w:val="ListeParagraf"/>
              <w:numPr>
                <w:ilvl w:val="0"/>
                <w:numId w:val="25"/>
              </w:numPr>
              <w:rPr>
                <w:rFonts w:ascii="Times New Roman" w:eastAsiaTheme="minorEastAsia" w:hAnsi="Times New Roman" w:cs="Times New Roman"/>
                <w:lang w:eastAsia="tr-TR"/>
              </w:rPr>
            </w:pPr>
            <w:r w:rsidRPr="003F7324">
              <w:rPr>
                <w:rFonts w:ascii="Times New Roman" w:eastAsiaTheme="minorEastAsia" w:hAnsi="Times New Roman" w:cs="Times New Roman"/>
                <w:bCs/>
                <w:lang w:eastAsia="tr-TR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1E" w:rsidRDefault="00F4571E" w:rsidP="00D4376A">
      <w:pPr>
        <w:spacing w:after="0" w:line="240" w:lineRule="auto"/>
      </w:pPr>
      <w:r>
        <w:separator/>
      </w:r>
    </w:p>
  </w:endnote>
  <w:endnote w:type="continuationSeparator" w:id="0">
    <w:p w:rsidR="00F4571E" w:rsidRDefault="00F4571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42" w:rsidRDefault="005D5F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5D5F4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42" w:rsidRDefault="005D5F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1E" w:rsidRDefault="00F4571E" w:rsidP="00D4376A">
      <w:pPr>
        <w:spacing w:after="0" w:line="240" w:lineRule="auto"/>
      </w:pPr>
      <w:r>
        <w:separator/>
      </w:r>
    </w:p>
  </w:footnote>
  <w:footnote w:type="continuationSeparator" w:id="0">
    <w:p w:rsidR="00F4571E" w:rsidRDefault="00F4571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42" w:rsidRDefault="005D5F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5D5F4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F33AF5" w:rsidRPr="002C1B35" w:rsidRDefault="00F33AF5" w:rsidP="00F33AF5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ind w:left="83" w:right="84"/>
            <w:jc w:val="center"/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</w:pPr>
          <w:r w:rsidRPr="002C1B35"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  <w:t>PERSONEL İŞLERİ BİRİMİ</w:t>
          </w:r>
        </w:p>
        <w:p w:rsidR="00D4376A" w:rsidRDefault="00F33AF5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ŞEF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F33AF5"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5D5F4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42" w:rsidRDefault="005D5F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1"/>
  </w:num>
  <w:num w:numId="5">
    <w:abstractNumId w:val="5"/>
  </w:num>
  <w:num w:numId="6">
    <w:abstractNumId w:val="16"/>
  </w:num>
  <w:num w:numId="7">
    <w:abstractNumId w:val="7"/>
  </w:num>
  <w:num w:numId="8">
    <w:abstractNumId w:val="4"/>
  </w:num>
  <w:num w:numId="9">
    <w:abstractNumId w:val="13"/>
  </w:num>
  <w:num w:numId="10">
    <w:abstractNumId w:val="11"/>
  </w:num>
  <w:num w:numId="11">
    <w:abstractNumId w:val="22"/>
  </w:num>
  <w:num w:numId="12">
    <w:abstractNumId w:val="10"/>
  </w:num>
  <w:num w:numId="13">
    <w:abstractNumId w:val="18"/>
  </w:num>
  <w:num w:numId="14">
    <w:abstractNumId w:val="23"/>
  </w:num>
  <w:num w:numId="15">
    <w:abstractNumId w:val="1"/>
  </w:num>
  <w:num w:numId="16">
    <w:abstractNumId w:val="0"/>
  </w:num>
  <w:num w:numId="17">
    <w:abstractNumId w:val="2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  <w:num w:numId="22">
    <w:abstractNumId w:val="6"/>
  </w:num>
  <w:num w:numId="23">
    <w:abstractNumId w:val="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0F57EC"/>
    <w:rsid w:val="00176283"/>
    <w:rsid w:val="001808C6"/>
    <w:rsid w:val="00187A69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A4B96"/>
    <w:rsid w:val="003B3333"/>
    <w:rsid w:val="00415674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D5F42"/>
    <w:rsid w:val="005F644E"/>
    <w:rsid w:val="00613890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E67A00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2019-01-21T12:20:00Z</dcterms:created>
  <dcterms:modified xsi:type="dcterms:W3CDTF">2020-08-19T06:04:00Z</dcterms:modified>
</cp:coreProperties>
</file>