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007992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007992" w:rsidRDefault="0039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 ve Dokümantasyon Daire Başkanlığı/ Teknik Hizmetler Şube Müdürlüğü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 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Teknolojileri Birimi (Kurumsal Açık Arşiv)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007992" w:rsidRDefault="00007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007992">
        <w:tc>
          <w:tcPr>
            <w:tcW w:w="3262" w:type="dxa"/>
            <w:vAlign w:val="center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Şube Müdürü, Daire Başkanı, Genel Sekreter, Rektör Yardımcısı ve Rektör</w:t>
            </w:r>
          </w:p>
        </w:tc>
      </w:tr>
      <w:tr w:rsidR="00007992">
        <w:tc>
          <w:tcPr>
            <w:tcW w:w="3262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/ İŞİN KISA TANIMI</w:t>
            </w:r>
            <w:r>
              <w:t xml:space="preserve">: </w:t>
            </w:r>
          </w:p>
          <w:p w:rsidR="00007992" w:rsidRDefault="00390CED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eğitim-öğretim ve araştırma ihtiyaçları doğrultusunda eğitimi desteklemek amacıyla üniversitede üretilen bilimsel çalışmaların kütüphaneci kontrolünde kurumsal açık arşive aktarma işlemlerinin yürütülmesi.</w:t>
            </w:r>
          </w:p>
          <w:p w:rsidR="00007992" w:rsidRDefault="00007992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992">
        <w:tc>
          <w:tcPr>
            <w:tcW w:w="10059" w:type="dxa"/>
            <w:gridSpan w:val="3"/>
          </w:tcPr>
          <w:p w:rsidR="00007992" w:rsidRDefault="000079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07992" w:rsidRDefault="00390CE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Üniversitenin görünürlüğünün arttırılması için, üniversitede üretilen bilimsel </w:t>
            </w:r>
            <w:proofErr w:type="gramStart"/>
            <w:r>
              <w:rPr>
                <w:rFonts w:ascii="Times New Roman" w:hAnsi="Times New Roman" w:cs="Times New Roman"/>
              </w:rPr>
              <w:t>literatürün</w:t>
            </w:r>
            <w:proofErr w:type="gramEnd"/>
            <w:r>
              <w:rPr>
                <w:rFonts w:ascii="Times New Roman" w:hAnsi="Times New Roman" w:cs="Times New Roman"/>
              </w:rPr>
              <w:t xml:space="preserve"> ücretsiz olarak kamuya açılmasını sağlamak üzere Üniversite yayınlarının (yüksek lisans, doktora tezleri, dergiler ve kitaplar) “Dicle Üniversitesi Açık Arşiv Sistemi” ne kütüphaneci kontrolünde giriş işlemlerini yapmak.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Açık Arşiv Sistemine akademisyenlerin kendi yayınlarını girebilmeleri için her türlü eğitim faaliyetlerinde kütüphaneciye yardımcı olmak.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durumlarda kütüphanede verilen hizmetlerin aksamaması için kütüphanenin diğer bölümlerinde yapılan işlere yardımcı olmak.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>
              <w:rPr>
                <w:rFonts w:ascii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hAnsi="Times New Roman" w:cs="Times New Roman"/>
              </w:rPr>
              <w:t xml:space="preserve"> ile üst yönetici/yöneticileri tarafından verilen diğer işleri ve işlemleri yapmak.</w:t>
            </w:r>
          </w:p>
          <w:p w:rsidR="00007992" w:rsidRDefault="00390CE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 ve işlemlerden dolayı Daire Başkanına, Genel Sekretere ve Rektöre karşı</w:t>
            </w:r>
          </w:p>
          <w:p w:rsidR="00007992" w:rsidRDefault="00390CED">
            <w:pPr>
              <w:pStyle w:val="ListeParagraf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sorumludur</w:t>
            </w:r>
            <w:proofErr w:type="gramEnd"/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07992">
        <w:tc>
          <w:tcPr>
            <w:tcW w:w="3709" w:type="dxa"/>
            <w:gridSpan w:val="2"/>
          </w:tcPr>
          <w:p w:rsidR="00007992" w:rsidRDefault="00390CE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alan.</w:t>
            </w:r>
          </w:p>
        </w:tc>
      </w:tr>
      <w:tr w:rsidR="00007992">
        <w:tc>
          <w:tcPr>
            <w:tcW w:w="3709" w:type="dxa"/>
            <w:gridSpan w:val="2"/>
          </w:tcPr>
          <w:p w:rsidR="00007992" w:rsidRDefault="00390CE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07992" w:rsidRDefault="00390CED">
            <w:pPr>
              <w:pStyle w:val="ListeParagraf"/>
              <w:spacing w:after="0" w:line="24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] Fiziksel Çaba                   [  ] Zihinsel Çaba                [ X ] Her İkisi de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07992" w:rsidRDefault="00390CED">
            <w:pPr>
              <w:spacing w:after="0" w:line="240" w:lineRule="auto"/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orta öğretim mezunu olmak.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07992" w:rsidRDefault="00390CED">
            <w:pPr>
              <w:pStyle w:val="ListeParagra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007992" w:rsidRDefault="00390C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bilgisayar kullanabilme.</w:t>
            </w:r>
          </w:p>
          <w:p w:rsidR="00007992" w:rsidRDefault="00390C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Araştırmacı, sorgulayıcı olma.</w:t>
            </w:r>
          </w:p>
          <w:p w:rsidR="00007992" w:rsidRDefault="00390C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 ve düzenli olma.</w:t>
            </w:r>
          </w:p>
          <w:p w:rsidR="00007992" w:rsidRDefault="00390C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sürekli yenileme</w:t>
            </w:r>
          </w:p>
          <w:p w:rsidR="00007992" w:rsidRDefault="00390C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 iletişim kurabilme</w:t>
            </w:r>
          </w:p>
          <w:p w:rsidR="00007992" w:rsidRDefault="00390C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 çözüm üretme.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390CED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07992" w:rsidRDefault="0000799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07992" w:rsidRDefault="0000799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07992" w:rsidRDefault="0000799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007992">
        <w:tc>
          <w:tcPr>
            <w:tcW w:w="10059" w:type="dxa"/>
            <w:gridSpan w:val="3"/>
          </w:tcPr>
          <w:p w:rsidR="00007992" w:rsidRDefault="00007992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07992" w:rsidRDefault="00390CED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007992" w:rsidRDefault="00390CED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(Daire Başkanı) </w:t>
            </w:r>
          </w:p>
          <w:p w:rsidR="00007992" w:rsidRDefault="00007992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007992" w:rsidRDefault="0000799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92" w:rsidRDefault="00390CED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07992" w:rsidRDefault="00007992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92" w:rsidRDefault="00390C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07992" w:rsidRDefault="00007992">
      <w:pPr>
        <w:rPr>
          <w:rFonts w:ascii="Times New Roman" w:hAnsi="Times New Roman" w:cs="Times New Roman"/>
        </w:rPr>
      </w:pPr>
    </w:p>
    <w:sectPr w:rsidR="00007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ED" w:rsidRDefault="00390CED">
      <w:pPr>
        <w:spacing w:line="240" w:lineRule="auto"/>
      </w:pPr>
      <w:r>
        <w:separator/>
      </w:r>
    </w:p>
  </w:endnote>
  <w:endnote w:type="continuationSeparator" w:id="0">
    <w:p w:rsidR="00390CED" w:rsidRDefault="00390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92" w:rsidRDefault="000079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92" w:rsidRDefault="007C74A0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390CED">
      <w:rPr>
        <w:rFonts w:ascii="Times New Roman" w:hAnsi="Times New Roman" w:cs="Times New Roman"/>
      </w:rPr>
      <w:t xml:space="preserve">                                                             </w:t>
    </w:r>
    <w:r w:rsidR="00390CED">
      <w:t xml:space="preserve">                                                                </w:t>
    </w:r>
    <w:r w:rsidR="00390CED">
      <w:rPr>
        <w:rFonts w:ascii="Times New Roman" w:hAnsi="Times New Roman" w:cs="Times New Roman"/>
      </w:rPr>
      <w:t xml:space="preserve">Sayfa No: </w:t>
    </w:r>
    <w:r w:rsidR="00390CED">
      <w:rPr>
        <w:rStyle w:val="SayfaNumaras"/>
        <w:rFonts w:ascii="Times New Roman" w:hAnsi="Times New Roman" w:cs="Times New Roman"/>
      </w:rPr>
      <w:fldChar w:fldCharType="begin"/>
    </w:r>
    <w:r w:rsidR="00390CED">
      <w:rPr>
        <w:rStyle w:val="SayfaNumaras"/>
        <w:rFonts w:ascii="Times New Roman" w:hAnsi="Times New Roman" w:cs="Times New Roman"/>
      </w:rPr>
      <w:instrText xml:space="preserve"> PAGE </w:instrText>
    </w:r>
    <w:r w:rsidR="00390CED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390CED">
      <w:rPr>
        <w:rStyle w:val="SayfaNumaras"/>
        <w:rFonts w:ascii="Times New Roman" w:hAnsi="Times New Roman" w:cs="Times New Roman"/>
      </w:rPr>
      <w:fldChar w:fldCharType="end"/>
    </w:r>
    <w:r w:rsidR="00390CED">
      <w:rPr>
        <w:rStyle w:val="SayfaNumaras"/>
        <w:rFonts w:ascii="Times New Roman" w:hAnsi="Times New Roman" w:cs="Times New Roman"/>
      </w:rPr>
      <w:t>/</w:t>
    </w:r>
    <w:r w:rsidR="00390CED">
      <w:rPr>
        <w:rStyle w:val="SayfaNumaras"/>
        <w:rFonts w:ascii="Times New Roman" w:hAnsi="Times New Roman" w:cs="Times New Roman"/>
      </w:rPr>
      <w:fldChar w:fldCharType="begin"/>
    </w:r>
    <w:r w:rsidR="00390CED">
      <w:rPr>
        <w:rStyle w:val="SayfaNumaras"/>
        <w:rFonts w:ascii="Times New Roman" w:hAnsi="Times New Roman" w:cs="Times New Roman"/>
      </w:rPr>
      <w:instrText xml:space="preserve"> NUMPAGES </w:instrText>
    </w:r>
    <w:r w:rsidR="00390CED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390CED">
      <w:rPr>
        <w:rStyle w:val="SayfaNumaras"/>
        <w:rFonts w:ascii="Times New Roman" w:hAnsi="Times New Roman" w:cs="Times New Roman"/>
      </w:rPr>
      <w:fldChar w:fldCharType="end"/>
    </w:r>
  </w:p>
  <w:p w:rsidR="00007992" w:rsidRDefault="00390CED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07992" w:rsidRDefault="00007992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92" w:rsidRDefault="000079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ED" w:rsidRDefault="00390CED">
      <w:pPr>
        <w:spacing w:after="0"/>
      </w:pPr>
      <w:r>
        <w:separator/>
      </w:r>
    </w:p>
  </w:footnote>
  <w:footnote w:type="continuationSeparator" w:id="0">
    <w:p w:rsidR="00390CED" w:rsidRDefault="00390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92" w:rsidRDefault="000079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007992">
      <w:trPr>
        <w:cantSplit/>
        <w:trHeight w:val="300"/>
      </w:trPr>
      <w:tc>
        <w:tcPr>
          <w:tcW w:w="655" w:type="pct"/>
          <w:vMerge w:val="restart"/>
          <w:vAlign w:val="center"/>
        </w:tcPr>
        <w:p w:rsidR="00007992" w:rsidRDefault="00390CE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114300" distR="114300">
                <wp:extent cx="819150" cy="845820"/>
                <wp:effectExtent l="0" t="0" r="0" b="11430"/>
                <wp:docPr id="1" name="Picture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Üniversite 2021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</w:tcPr>
        <w:p w:rsidR="00007992" w:rsidRDefault="00390C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007992" w:rsidRDefault="00390C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DAİRE BAŞKANLIĞI </w:t>
          </w:r>
        </w:p>
        <w:p w:rsidR="00007992" w:rsidRDefault="00390C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TEKNİK HİZMETLER ŞUBE MÜDÜRLÜĞÜ</w:t>
          </w:r>
        </w:p>
        <w:p w:rsidR="00007992" w:rsidRDefault="00390C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BİLGİ TEKNOLOJİLERİ BİRİMİ </w:t>
          </w:r>
        </w:p>
        <w:p w:rsidR="00007992" w:rsidRDefault="00390CE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MEMUR GÖREV TANIMI</w:t>
          </w:r>
          <w:r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KDD-GRV-056</w:t>
          </w:r>
        </w:p>
      </w:tc>
    </w:tr>
    <w:tr w:rsidR="00007992">
      <w:trPr>
        <w:cantSplit/>
        <w:trHeight w:val="300"/>
      </w:trPr>
      <w:tc>
        <w:tcPr>
          <w:tcW w:w="655" w:type="pct"/>
          <w:vMerge/>
          <w:vAlign w:val="center"/>
        </w:tcPr>
        <w:p w:rsidR="00007992" w:rsidRDefault="00007992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</w:tcPr>
        <w:p w:rsidR="00007992" w:rsidRDefault="00007992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007992">
      <w:trPr>
        <w:cantSplit/>
        <w:trHeight w:val="300"/>
      </w:trPr>
      <w:tc>
        <w:tcPr>
          <w:tcW w:w="655" w:type="pct"/>
          <w:vMerge/>
          <w:vAlign w:val="center"/>
        </w:tcPr>
        <w:p w:rsidR="00007992" w:rsidRDefault="00007992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</w:tcPr>
        <w:p w:rsidR="00007992" w:rsidRDefault="00007992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007992" w:rsidRDefault="0033665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007992">
      <w:trPr>
        <w:cantSplit/>
        <w:trHeight w:val="300"/>
      </w:trPr>
      <w:tc>
        <w:tcPr>
          <w:tcW w:w="655" w:type="pct"/>
          <w:vMerge/>
          <w:vAlign w:val="center"/>
        </w:tcPr>
        <w:p w:rsidR="00007992" w:rsidRDefault="00007992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</w:tcPr>
        <w:p w:rsidR="00007992" w:rsidRDefault="00007992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</w:tcPr>
        <w:p w:rsidR="00007992" w:rsidRDefault="00390CE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007992" w:rsidRDefault="000079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92" w:rsidRDefault="000079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multilevel"/>
    <w:tmpl w:val="14774B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multilevel"/>
    <w:tmpl w:val="240342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274"/>
    <w:multiLevelType w:val="multilevel"/>
    <w:tmpl w:val="3654627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B4CA3"/>
    <w:multiLevelType w:val="multilevel"/>
    <w:tmpl w:val="426B4CA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41F3B"/>
    <w:multiLevelType w:val="multilevel"/>
    <w:tmpl w:val="52A41F3B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multilevel"/>
    <w:tmpl w:val="5DCA4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7992"/>
    <w:rsid w:val="000110FF"/>
    <w:rsid w:val="00017C48"/>
    <w:rsid w:val="00017FE8"/>
    <w:rsid w:val="000251AF"/>
    <w:rsid w:val="000463C2"/>
    <w:rsid w:val="000628D2"/>
    <w:rsid w:val="00082F6C"/>
    <w:rsid w:val="00084E58"/>
    <w:rsid w:val="0009131F"/>
    <w:rsid w:val="000A2141"/>
    <w:rsid w:val="000A7456"/>
    <w:rsid w:val="000C30AB"/>
    <w:rsid w:val="000C777D"/>
    <w:rsid w:val="000E58F2"/>
    <w:rsid w:val="000F0C4A"/>
    <w:rsid w:val="001808C6"/>
    <w:rsid w:val="00187A69"/>
    <w:rsid w:val="001A1B0B"/>
    <w:rsid w:val="001B1471"/>
    <w:rsid w:val="001C45D6"/>
    <w:rsid w:val="002305DB"/>
    <w:rsid w:val="002346A8"/>
    <w:rsid w:val="00235C8C"/>
    <w:rsid w:val="002B13D1"/>
    <w:rsid w:val="002F01DE"/>
    <w:rsid w:val="002F2A17"/>
    <w:rsid w:val="002F63AA"/>
    <w:rsid w:val="00306749"/>
    <w:rsid w:val="00316078"/>
    <w:rsid w:val="0032551C"/>
    <w:rsid w:val="00336658"/>
    <w:rsid w:val="00364921"/>
    <w:rsid w:val="00376976"/>
    <w:rsid w:val="00390CED"/>
    <w:rsid w:val="00405644"/>
    <w:rsid w:val="004423D5"/>
    <w:rsid w:val="00455A8D"/>
    <w:rsid w:val="004605B8"/>
    <w:rsid w:val="00474DFB"/>
    <w:rsid w:val="00474F44"/>
    <w:rsid w:val="00484680"/>
    <w:rsid w:val="004A1C0D"/>
    <w:rsid w:val="004B5AE8"/>
    <w:rsid w:val="004C5513"/>
    <w:rsid w:val="00526A0F"/>
    <w:rsid w:val="0054782B"/>
    <w:rsid w:val="005A758A"/>
    <w:rsid w:val="005B0D4C"/>
    <w:rsid w:val="005B32F3"/>
    <w:rsid w:val="005E2FFC"/>
    <w:rsid w:val="005F644E"/>
    <w:rsid w:val="00622CBF"/>
    <w:rsid w:val="0067344E"/>
    <w:rsid w:val="00674B81"/>
    <w:rsid w:val="00686C05"/>
    <w:rsid w:val="006C3C17"/>
    <w:rsid w:val="006F14BE"/>
    <w:rsid w:val="00762837"/>
    <w:rsid w:val="007B2EDB"/>
    <w:rsid w:val="007C74A0"/>
    <w:rsid w:val="007D2B98"/>
    <w:rsid w:val="007E6F0A"/>
    <w:rsid w:val="00834D02"/>
    <w:rsid w:val="00840BF7"/>
    <w:rsid w:val="00870D9D"/>
    <w:rsid w:val="00874C31"/>
    <w:rsid w:val="008A54F3"/>
    <w:rsid w:val="008C449B"/>
    <w:rsid w:val="00925FBD"/>
    <w:rsid w:val="00977020"/>
    <w:rsid w:val="009C3DAA"/>
    <w:rsid w:val="009E1D52"/>
    <w:rsid w:val="00A0008C"/>
    <w:rsid w:val="00A47451"/>
    <w:rsid w:val="00A47CDF"/>
    <w:rsid w:val="00A64ED7"/>
    <w:rsid w:val="00AA0DE3"/>
    <w:rsid w:val="00AD033A"/>
    <w:rsid w:val="00AD14F5"/>
    <w:rsid w:val="00AD21F7"/>
    <w:rsid w:val="00B02924"/>
    <w:rsid w:val="00BD5281"/>
    <w:rsid w:val="00BE14A8"/>
    <w:rsid w:val="00BE560F"/>
    <w:rsid w:val="00C33630"/>
    <w:rsid w:val="00C71E42"/>
    <w:rsid w:val="00CE540D"/>
    <w:rsid w:val="00D000F7"/>
    <w:rsid w:val="00D04C9B"/>
    <w:rsid w:val="00D06F16"/>
    <w:rsid w:val="00D4376A"/>
    <w:rsid w:val="00DC4371"/>
    <w:rsid w:val="00E061E2"/>
    <w:rsid w:val="00E257F4"/>
    <w:rsid w:val="00E2748B"/>
    <w:rsid w:val="00E67A00"/>
    <w:rsid w:val="00EA0524"/>
    <w:rsid w:val="00F102DE"/>
    <w:rsid w:val="00FF0052"/>
    <w:rsid w:val="00FF1E9B"/>
    <w:rsid w:val="3AE61433"/>
    <w:rsid w:val="573A5872"/>
    <w:rsid w:val="724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3F7E"/>
  <w15:docId w15:val="{70EE0AAB-2078-4788-9565-0DA9C84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ayfaNumaras">
    <w:name w:val="page number"/>
    <w:basedOn w:val="VarsaylanParagrafYazTipi"/>
    <w:qFormat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qFormat/>
  </w:style>
  <w:style w:type="character" w:customStyle="1" w:styleId="AltBilgiChar">
    <w:name w:val="Alt Bilgi Char"/>
    <w:basedOn w:val="VarsaylanParagrafYazTipi"/>
    <w:link w:val="AltBilgi"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4</cp:revision>
  <dcterms:created xsi:type="dcterms:W3CDTF">2021-12-29T11:53:00Z</dcterms:created>
  <dcterms:modified xsi:type="dcterms:W3CDTF">2022-04-06T07:19:00Z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1500C91AC17F46D08900DB383B27CED4</vt:lpwstr>
  </property>
</Properties>
</file>