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174"/>
      </w:tblGrid>
      <w:tr w:rsidR="00D4376A" w:rsidRPr="00D4376A" w:rsidTr="002F2A1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484680" w:rsidRDefault="00484680" w:rsidP="00A066ED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DB7094" w:rsidRPr="00DB7094">
              <w:rPr>
                <w:rFonts w:ascii="Times New Roman" w:hAnsi="Times New Roman" w:cs="Times New Roman"/>
              </w:rPr>
              <w:t xml:space="preserve">İdari Hizmetler </w:t>
            </w:r>
            <w:r w:rsidR="00A066ED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187A69" w:rsidRDefault="00187A69" w:rsidP="006E33CF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0D0621" w:rsidRDefault="000D0621" w:rsidP="002C1E94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Memur</w:t>
            </w:r>
            <w:r w:rsidR="002C1E94">
              <w:rPr>
                <w:rFonts w:ascii="Times New Roman" w:hAnsi="Times New Roman" w:cs="Times New Roman"/>
              </w:rPr>
              <w:t>, Veri Hazırlama ve Kontrol İşletmeni, Bilgisayar İşletmeni.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0D0621" w:rsidRDefault="00DB7094" w:rsidP="002D5BEC">
            <w:pPr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Taşınır Kayıt Yetkilisi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621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2F2A17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0D0621" w:rsidRDefault="00A64F65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Taşınır Kontrol Yetkilisi, Daire Başkanı, Genel Sekreter, Rektör Yardımcısı </w:t>
            </w:r>
            <w:r w:rsidR="000D0621" w:rsidRPr="000D0621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DB7094" w:rsidRDefault="00DB7094" w:rsidP="0048468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Taşınır Mal Yönetmeliği doğrultusunda kaynağına ve edinme yöntemine bakılmaksızın Daire Başkanlığına ait taşınırların kaydı, muhafazası ve kullanımı ile yönetim hesabının verilmesi iş ve işlemlerinin yapılması.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1379A" w:rsidRDefault="002D5BEC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C5303">
              <w:rPr>
                <w:rFonts w:ascii="Times New Roman" w:hAnsi="Times New Roman" w:cs="Times New Roman"/>
              </w:rPr>
              <w:t>Taşınırları teslim alan, sorumluluğundaki ambarlarda muhafaza eden, kullanıcılarına ve kullanım yerlerine teslim eden, yönetmelikte belirtilen esas ve usullere göre kayıtları tutan, bunlara ilişkin belge ve cetvelleri düzenl</w:t>
            </w:r>
            <w:r w:rsidR="007C4396">
              <w:rPr>
                <w:rFonts w:ascii="Times New Roman" w:hAnsi="Times New Roman" w:cs="Times New Roman"/>
              </w:rPr>
              <w:t>eyen ve bu hususlarda hesap ver</w:t>
            </w:r>
            <w:r w:rsidRPr="00BC5303">
              <w:rPr>
                <w:rFonts w:ascii="Times New Roman" w:hAnsi="Times New Roman" w:cs="Times New Roman"/>
              </w:rPr>
              <w:t>me sorumlu</w:t>
            </w:r>
            <w:r w:rsidR="007C4396">
              <w:rPr>
                <w:rFonts w:ascii="Times New Roman" w:hAnsi="Times New Roman" w:cs="Times New Roman"/>
              </w:rPr>
              <w:t>lu</w:t>
            </w:r>
            <w:r w:rsidRPr="00BC5303">
              <w:rPr>
                <w:rFonts w:ascii="Times New Roman" w:hAnsi="Times New Roman" w:cs="Times New Roman"/>
              </w:rPr>
              <w:t xml:space="preserve">ğu çerçevesinde taşınır kontrol yetkilisi ve harcama yetkilisine karşı sorumludur. </w:t>
            </w:r>
          </w:p>
          <w:p w:rsidR="00DB7094" w:rsidRPr="00BC5303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C5303">
              <w:rPr>
                <w:rFonts w:ascii="Times New Roman" w:hAnsi="Times New Roman" w:cs="Times New Roman"/>
              </w:rPr>
              <w:t>Daire Başkanlığına alınan demirbaş ve diğer malzemenin kanun, yönetmelik ve diğer mevzuat hükümlerine göre depo ve kullanıcılara giriş-çıkışını yapmak.</w:t>
            </w:r>
          </w:p>
          <w:p w:rsidR="00DB7094" w:rsidRPr="00DB7094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Mal ve hizmet alımları ile ilgili kayıtları tutmak.</w:t>
            </w:r>
          </w:p>
          <w:p w:rsidR="00DB7094" w:rsidRPr="00AA5255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Alınan malzemeyi kontrol ederek depolarda saklanmasını sağlamak, yıl sonunda sayım işlemlerini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yaparak ilgili yerlere göndermek.</w:t>
            </w:r>
          </w:p>
          <w:p w:rsidR="00DB7094" w:rsidRPr="00AA5255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Harcama birimince edinilen taşınırlardan muayene ve kabulü yapılanları cins ve niteliklerine göre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sayarak, tartarak, ölçerek teslim almak, doğrudan tüketilmeyen ve kullanıma verilmeyen taşınırları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sorumluluğundaki depolarda muhafaza etmek.</w:t>
            </w:r>
          </w:p>
          <w:p w:rsidR="00DB7094" w:rsidRPr="00AA5255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Muayene ve kabul işlemi hemen yapılamayan taşınırları kontrol ederek teslim almak, bunların kesin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kabulü yapılmadan kullanıma verilmesini önlemek.</w:t>
            </w:r>
          </w:p>
          <w:p w:rsidR="00DB7094" w:rsidRPr="00AA5255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Taşınırların giriş ve çıkışına ilişkin kayıtları tutmak, bunlara ilişkin belge ve cetvelleri düzenlemek ve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taşınır yönetim hesap cetvellerini konsolide görevlisine göndermek.</w:t>
            </w:r>
          </w:p>
          <w:p w:rsidR="00DB7094" w:rsidRPr="00DB7094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Tüketime veya kullanıma verilmesi uygun görülen taşınırları ilgililere teslim etmek.</w:t>
            </w:r>
          </w:p>
          <w:p w:rsidR="00DB7094" w:rsidRPr="00AA5255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Depoda, çalınma veya olağanüstü nedenlerden dolayı meydana gelen azalmaları harcama yetkilisine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bildirmek.</w:t>
            </w:r>
          </w:p>
          <w:p w:rsidR="00DB7094" w:rsidRPr="00AA5255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Depo sayımını ve stok kontrolünü yapmak, harcama yetkilisince belirlenen asgarî stok seviyesinin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altına düşen taşınırları harcama yetkilisine bildirmek.</w:t>
            </w:r>
          </w:p>
          <w:p w:rsidR="00DB7094" w:rsidRPr="00AA5255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Kullanımda bulunan dayanıklı taşınırları bulundukları yerde kontrol etmek, sayımlarını yapmak ve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yaptırmak.</w:t>
            </w:r>
          </w:p>
          <w:p w:rsidR="00DB7094" w:rsidRPr="00DB7094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Harcama biriminin malzeme ihtiyaç planlamasının yapılmasına yardımcı olmak.</w:t>
            </w:r>
          </w:p>
          <w:p w:rsidR="00DB7094" w:rsidRPr="00DB7094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Kayıtlarını tuttuğu taşınırların yönetim hesabını hazırlamak ve harcama yetkilisine sunmak.</w:t>
            </w:r>
          </w:p>
          <w:p w:rsidR="00DB7094" w:rsidRPr="00AA5255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Taşınır işlemleriyle ilgili belgeleri hazırlamak ve ilgili kişilere imzalatmak, imzalatılan fişleri çıkış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dosyasına takmak.</w:t>
            </w:r>
          </w:p>
          <w:p w:rsidR="00DB7094" w:rsidRPr="00DB7094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Günlük depo kontrolü yapmak.</w:t>
            </w:r>
          </w:p>
          <w:p w:rsidR="00DB7094" w:rsidRPr="00DB7094" w:rsidRDefault="00DB7094" w:rsidP="006A62E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Depoya gelen malzemeleri teslim almak, depodan gerekli yerlere çıkışlarını sağlamak.</w:t>
            </w:r>
          </w:p>
          <w:p w:rsidR="00DB7094" w:rsidRPr="00DB7094" w:rsidRDefault="00DB7094" w:rsidP="00DB7094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lastRenderedPageBreak/>
              <w:t>Depo sayımı ve stok kontrolünü yapmak.</w:t>
            </w:r>
          </w:p>
          <w:p w:rsidR="00DB7094" w:rsidRPr="00DB7094" w:rsidRDefault="00DB7094" w:rsidP="00DB7094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Depoların temiz ve düzenli olmasını sağlamak.</w:t>
            </w:r>
          </w:p>
          <w:p w:rsidR="00DB7094" w:rsidRPr="00DB7094" w:rsidRDefault="00DB7094" w:rsidP="00DB7094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Sorumluluğunda bulunan depoları devir teslim yapmadan görevinden ayrılmamak.</w:t>
            </w:r>
          </w:p>
          <w:p w:rsidR="00DB7094" w:rsidRPr="00AA5255" w:rsidRDefault="007C210E" w:rsidP="00AA5255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Düşüm komisyonunca belirlenene, bozuk ve</w:t>
            </w:r>
            <w:r w:rsidR="00DB7094" w:rsidRPr="00DB7094">
              <w:rPr>
                <w:rFonts w:ascii="Times New Roman" w:hAnsi="Times New Roman" w:cs="Times New Roman"/>
              </w:rPr>
              <w:t xml:space="preserve"> tamiri mümkün olmayan taşınırların kayıtlardan düşülmesi, hurdaya ayrılması işlemlerini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="00DB7094" w:rsidRPr="00AA5255">
              <w:rPr>
                <w:rFonts w:ascii="Times New Roman" w:hAnsi="Times New Roman" w:cs="Times New Roman"/>
              </w:rPr>
              <w:t>yapmak.</w:t>
            </w:r>
          </w:p>
          <w:p w:rsidR="00DB7094" w:rsidRPr="00DB7094" w:rsidRDefault="00DB7094" w:rsidP="00DB7094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Hibe yoluyla verilen malzemeleri kayıt altına almak.</w:t>
            </w:r>
          </w:p>
          <w:p w:rsidR="00484680" w:rsidRDefault="00DB7094" w:rsidP="00DB7094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Depo demirbaş sayımı</w:t>
            </w:r>
            <w:r w:rsidR="007C210E">
              <w:rPr>
                <w:rFonts w:ascii="Times New Roman" w:hAnsi="Times New Roman" w:cs="Times New Roman"/>
              </w:rPr>
              <w:t>nı</w:t>
            </w:r>
            <w:r w:rsidRPr="00DB7094">
              <w:rPr>
                <w:rFonts w:ascii="Times New Roman" w:hAnsi="Times New Roman" w:cs="Times New Roman"/>
              </w:rPr>
              <w:t xml:space="preserve"> yapmak ve demirbaş listeleri</w:t>
            </w:r>
            <w:r w:rsidR="007C210E">
              <w:rPr>
                <w:rFonts w:ascii="Times New Roman" w:hAnsi="Times New Roman" w:cs="Times New Roman"/>
              </w:rPr>
              <w:t>ni</w:t>
            </w:r>
            <w:r w:rsidRPr="00DB7094">
              <w:rPr>
                <w:rFonts w:ascii="Times New Roman" w:hAnsi="Times New Roman" w:cs="Times New Roman"/>
              </w:rPr>
              <w:t xml:space="preserve"> düzenlemek.</w:t>
            </w:r>
          </w:p>
          <w:p w:rsidR="007C210E" w:rsidRDefault="00AA5255" w:rsidP="00AA5255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C210E">
              <w:rPr>
                <w:rFonts w:ascii="Times New Roman" w:hAnsi="Times New Roman" w:cs="Times New Roman"/>
              </w:rPr>
              <w:t xml:space="preserve">Depo tüketim malzemelerinin sayımını yapmak ve yapılan sayımları </w:t>
            </w:r>
            <w:r w:rsidR="007C210E" w:rsidRPr="007C210E">
              <w:rPr>
                <w:rFonts w:ascii="Times New Roman" w:hAnsi="Times New Roman" w:cs="Times New Roman"/>
              </w:rPr>
              <w:t>KBS’deki kayıtlar ile</w:t>
            </w:r>
            <w:r w:rsidRPr="007C210E">
              <w:rPr>
                <w:rFonts w:ascii="Times New Roman" w:hAnsi="Times New Roman" w:cs="Times New Roman"/>
              </w:rPr>
              <w:t xml:space="preserve"> karşılaştırmak.</w:t>
            </w:r>
          </w:p>
          <w:p w:rsidR="00AA5255" w:rsidRPr="007C210E" w:rsidRDefault="00AA5255" w:rsidP="00AA5255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C210E">
              <w:rPr>
                <w:rFonts w:ascii="Times New Roman" w:hAnsi="Times New Roman" w:cs="Times New Roman"/>
              </w:rPr>
              <w:t>Tüketime ve kullanıma verilmesi uygun görülen taşınırları ilgililere teslim etmek.</w:t>
            </w:r>
          </w:p>
          <w:p w:rsidR="00AA5255" w:rsidRPr="00AA5255" w:rsidRDefault="00AA5255" w:rsidP="00AA5255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Memur, depoya ilişkin her türlü yetkiye ve Taşınır Otomasyon Programını kullanma yetkisine sahiptir.</w:t>
            </w:r>
          </w:p>
          <w:p w:rsidR="00AA5255" w:rsidRPr="00AA5255" w:rsidRDefault="00AA5255" w:rsidP="00AA5255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Memur, sorumluluğunda bulunan depolarda kasıt, kusur, ihmal veya tedbirsizlikleri nedeniyle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55">
              <w:rPr>
                <w:rFonts w:ascii="Times New Roman" w:hAnsi="Times New Roman" w:cs="Times New Roman"/>
              </w:rPr>
              <w:t>meydana gelen kayıp ve noksanlıklardan sorumludur.</w:t>
            </w:r>
          </w:p>
          <w:p w:rsidR="00A43205" w:rsidRDefault="00AA5255" w:rsidP="002D5BEC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43205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2D5BEC" w:rsidRPr="00A43205" w:rsidRDefault="00AA5255" w:rsidP="002D5BEC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43205">
              <w:rPr>
                <w:rFonts w:ascii="Times New Roman" w:hAnsi="Times New Roman" w:cs="Times New Roman"/>
              </w:rPr>
              <w:t xml:space="preserve"> Kendi sorumluluğunda olan bütün büro makineleri ve demirbaşların her türlü hasara karşı korunması için gerekli tedbirleri almak</w:t>
            </w:r>
            <w:r w:rsidR="002D5BEC" w:rsidRPr="00A43205">
              <w:rPr>
                <w:rFonts w:ascii="Times New Roman" w:hAnsi="Times New Roman" w:cs="Times New Roman"/>
              </w:rPr>
              <w:t>.</w:t>
            </w:r>
          </w:p>
          <w:p w:rsidR="00AA5255" w:rsidRPr="002D5BEC" w:rsidRDefault="002D5BEC" w:rsidP="002D5BEC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A5255" w:rsidRPr="002D5BEC">
              <w:rPr>
                <w:rFonts w:ascii="Times New Roman" w:hAnsi="Times New Roman" w:cs="Times New Roman"/>
              </w:rPr>
              <w:t>ağlı olduğu proses ile üst yönetici/yöneticileri tarafından verilen diğer işleri ve işlemleri yapmak.</w:t>
            </w:r>
          </w:p>
          <w:p w:rsidR="00AA5255" w:rsidRPr="00AA5255" w:rsidRDefault="007C210E" w:rsidP="007C210E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Taşınır Kayıt </w:t>
            </w:r>
            <w:r w:rsidR="00AA5255" w:rsidRPr="00AA5255">
              <w:rPr>
                <w:rFonts w:ascii="Times New Roman" w:hAnsi="Times New Roman" w:cs="Times New Roman"/>
              </w:rPr>
              <w:t xml:space="preserve">Yetkilisi, yaptığı iş ve işlemlerden dolayı </w:t>
            </w:r>
            <w:r>
              <w:rPr>
                <w:rFonts w:ascii="Times New Roman" w:hAnsi="Times New Roman" w:cs="Times New Roman"/>
              </w:rPr>
              <w:t>Taşınır Kontrol Yetkilisi</w:t>
            </w:r>
            <w:r w:rsidR="00CA0FF8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A5255" w:rsidRPr="00AA5255">
              <w:rPr>
                <w:rFonts w:ascii="Times New Roman" w:hAnsi="Times New Roman" w:cs="Times New Roman"/>
              </w:rPr>
              <w:t>Daire Başkanına, Genel Sekretere</w:t>
            </w:r>
            <w:r w:rsidR="00CA0FF8">
              <w:rPr>
                <w:rFonts w:ascii="Times New Roman" w:hAnsi="Times New Roman" w:cs="Times New Roman"/>
              </w:rPr>
              <w:t>,</w:t>
            </w:r>
            <w:r w:rsidR="00AA5255" w:rsidRPr="00AA5255">
              <w:rPr>
                <w:rFonts w:ascii="Times New Roman" w:hAnsi="Times New Roman" w:cs="Times New Roman"/>
              </w:rPr>
              <w:t xml:space="preserve"> </w:t>
            </w:r>
            <w:r w:rsidR="00CA0FF8">
              <w:rPr>
                <w:rFonts w:ascii="Times New Roman" w:hAnsi="Times New Roman" w:cs="Times New Roman"/>
              </w:rPr>
              <w:t xml:space="preserve">Rektör Yardımcısına </w:t>
            </w:r>
            <w:r w:rsidR="00AA5255" w:rsidRPr="00AA5255">
              <w:rPr>
                <w:rFonts w:ascii="Times New Roman" w:hAnsi="Times New Roman" w:cs="Times New Roman"/>
              </w:rPr>
              <w:t>ve Rektöre karşı sorumludur.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2F2A17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2F2A17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AA5255" w:rsidRDefault="00AA5255" w:rsidP="005A758A">
            <w:p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Var (Mali risk, yangın, su baskını vb.)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6A62E2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5A758A" w:rsidP="007C550C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r w:rsidR="007C550C">
              <w:rPr>
                <w:rFonts w:ascii="Times New Roman" w:hAnsi="Times New Roman" w:cs="Times New Roman"/>
              </w:rPr>
              <w:t xml:space="preserve">ortaöğretim </w:t>
            </w:r>
            <w:r>
              <w:rPr>
                <w:rFonts w:ascii="Times New Roman" w:hAnsi="Times New Roman" w:cs="Times New Roman"/>
              </w:rPr>
              <w:t>mezunu olmak.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D0621" w:rsidRDefault="00AA5255" w:rsidP="000D0621">
            <w:pPr>
              <w:pStyle w:val="ListeParagraf"/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7C550C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A5255" w:rsidRPr="00AA5255" w:rsidRDefault="00AA5255" w:rsidP="00AA525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Bilgisayarı iyi kullanabilen</w:t>
            </w:r>
          </w:p>
          <w:p w:rsidR="00AA5255" w:rsidRPr="00AA5255" w:rsidRDefault="00AA5255" w:rsidP="00AA525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Mevzuatı takip edip yorum yapabilen</w:t>
            </w:r>
          </w:p>
          <w:p w:rsidR="00AA5255" w:rsidRPr="00AA5255" w:rsidRDefault="00AA5255" w:rsidP="00AA525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Güvenilir</w:t>
            </w:r>
          </w:p>
          <w:p w:rsidR="00017C48" w:rsidRPr="002B13D1" w:rsidRDefault="00AA5255" w:rsidP="00AA525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Dikkatli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A62E2" w:rsidRDefault="006A62E2" w:rsidP="006A62E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A62E2" w:rsidRDefault="006A62E2" w:rsidP="006A62E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A62E2" w:rsidRDefault="006A62E2" w:rsidP="006A62E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A62E2" w:rsidRDefault="006A62E2" w:rsidP="006A62E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6A62E2" w:rsidP="006A62E2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2F2A17">
        <w:tc>
          <w:tcPr>
            <w:tcW w:w="9883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6A62E2" w:rsidRDefault="006A62E2" w:rsidP="006A62E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A62E2" w:rsidRDefault="006A62E2" w:rsidP="006A62E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A62E2" w:rsidRDefault="006A62E2" w:rsidP="006A62E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A62E2" w:rsidRDefault="006A62E2" w:rsidP="006A62E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6A62E2" w:rsidP="006A62E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46" w:rsidRDefault="007A1C46" w:rsidP="00D4376A">
      <w:pPr>
        <w:spacing w:after="0" w:line="240" w:lineRule="auto"/>
      </w:pPr>
      <w:r>
        <w:separator/>
      </w:r>
    </w:p>
  </w:endnote>
  <w:endnote w:type="continuationSeparator" w:id="0">
    <w:p w:rsidR="007A1C46" w:rsidRDefault="007A1C4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C1" w:rsidRDefault="005B4C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B4CC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B36E7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AD226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D226E" w:rsidRPr="000C30AB">
      <w:rPr>
        <w:rStyle w:val="SayfaNumaras"/>
        <w:rFonts w:ascii="Times New Roman" w:hAnsi="Times New Roman" w:cs="Times New Roman"/>
      </w:rPr>
      <w:fldChar w:fldCharType="separate"/>
    </w:r>
    <w:r w:rsidR="00B36E7E">
      <w:rPr>
        <w:rStyle w:val="SayfaNumaras"/>
        <w:rFonts w:ascii="Times New Roman" w:hAnsi="Times New Roman" w:cs="Times New Roman"/>
        <w:noProof/>
      </w:rPr>
      <w:t>1</w:t>
    </w:r>
    <w:r w:rsidR="00AD226E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AD226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D226E" w:rsidRPr="000C30AB">
      <w:rPr>
        <w:rStyle w:val="SayfaNumaras"/>
        <w:rFonts w:ascii="Times New Roman" w:hAnsi="Times New Roman" w:cs="Times New Roman"/>
      </w:rPr>
      <w:fldChar w:fldCharType="separate"/>
    </w:r>
    <w:r w:rsidR="00B36E7E">
      <w:rPr>
        <w:rStyle w:val="SayfaNumaras"/>
        <w:rFonts w:ascii="Times New Roman" w:hAnsi="Times New Roman" w:cs="Times New Roman"/>
        <w:noProof/>
      </w:rPr>
      <w:t>3</w:t>
    </w:r>
    <w:r w:rsidR="00AD226E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C1" w:rsidRDefault="005B4C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46" w:rsidRDefault="007A1C46" w:rsidP="00D4376A">
      <w:pPr>
        <w:spacing w:after="0" w:line="240" w:lineRule="auto"/>
      </w:pPr>
      <w:r>
        <w:separator/>
      </w:r>
    </w:p>
  </w:footnote>
  <w:footnote w:type="continuationSeparator" w:id="0">
    <w:p w:rsidR="007A1C46" w:rsidRDefault="007A1C4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C1" w:rsidRDefault="005B4C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B36E7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F036B12" wp14:editId="212F7D5D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FF1E9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102E7" w:rsidRDefault="00FF1E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KÜTÜPHANE VE DOKÜMANTASYON</w:t>
          </w:r>
          <w:r w:rsidR="002F2A17"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102E7"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6E33CF" w:rsidRDefault="006E33C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İDARİ HİZMETLER ŞUBE MÜDÜRLÜĞÜ</w:t>
          </w:r>
        </w:p>
        <w:p w:rsidR="006E33CF" w:rsidRDefault="00DB7094" w:rsidP="006E33C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B7094">
            <w:rPr>
              <w:rFonts w:ascii="Times New Roman" w:hAnsi="Times New Roman" w:cs="Times New Roman"/>
              <w:b/>
              <w:sz w:val="30"/>
              <w:szCs w:val="30"/>
            </w:rPr>
            <w:t>TAŞINIR KAYIT YETKİLİSİ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Pr="002102E7" w:rsidRDefault="006E33CF" w:rsidP="006E33C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D4376A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6E33CF" w:rsidP="006E33C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17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6E33C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B36E7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C1" w:rsidRDefault="005B4C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D49"/>
    <w:multiLevelType w:val="hybridMultilevel"/>
    <w:tmpl w:val="023620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A7456"/>
    <w:rsid w:val="000C30AB"/>
    <w:rsid w:val="000D0621"/>
    <w:rsid w:val="000E58F2"/>
    <w:rsid w:val="000F0C4A"/>
    <w:rsid w:val="0011591E"/>
    <w:rsid w:val="001808C6"/>
    <w:rsid w:val="00184208"/>
    <w:rsid w:val="00187A69"/>
    <w:rsid w:val="001A1B0B"/>
    <w:rsid w:val="001F4060"/>
    <w:rsid w:val="002102E7"/>
    <w:rsid w:val="002305DB"/>
    <w:rsid w:val="002B13D1"/>
    <w:rsid w:val="002C1E94"/>
    <w:rsid w:val="002D5BEC"/>
    <w:rsid w:val="002F01DE"/>
    <w:rsid w:val="002F2A17"/>
    <w:rsid w:val="00306749"/>
    <w:rsid w:val="00364921"/>
    <w:rsid w:val="00376976"/>
    <w:rsid w:val="003D3231"/>
    <w:rsid w:val="0041379A"/>
    <w:rsid w:val="004423D5"/>
    <w:rsid w:val="00455A8D"/>
    <w:rsid w:val="00474DFB"/>
    <w:rsid w:val="00483D2B"/>
    <w:rsid w:val="00484680"/>
    <w:rsid w:val="004B5AE8"/>
    <w:rsid w:val="004C5513"/>
    <w:rsid w:val="004F04F5"/>
    <w:rsid w:val="00526A0F"/>
    <w:rsid w:val="005550C7"/>
    <w:rsid w:val="005A4C45"/>
    <w:rsid w:val="005A758A"/>
    <w:rsid w:val="005B4CC1"/>
    <w:rsid w:val="005F644E"/>
    <w:rsid w:val="00622CBF"/>
    <w:rsid w:val="00674B81"/>
    <w:rsid w:val="00686C05"/>
    <w:rsid w:val="006A62E2"/>
    <w:rsid w:val="006E33CF"/>
    <w:rsid w:val="00762837"/>
    <w:rsid w:val="007A1C46"/>
    <w:rsid w:val="007C210E"/>
    <w:rsid w:val="007C4396"/>
    <w:rsid w:val="007C550C"/>
    <w:rsid w:val="007E6F0A"/>
    <w:rsid w:val="00834D02"/>
    <w:rsid w:val="008A54F3"/>
    <w:rsid w:val="008C449B"/>
    <w:rsid w:val="00A0008C"/>
    <w:rsid w:val="00A066ED"/>
    <w:rsid w:val="00A3143F"/>
    <w:rsid w:val="00A43205"/>
    <w:rsid w:val="00A64ED7"/>
    <w:rsid w:val="00A64F65"/>
    <w:rsid w:val="00AA5255"/>
    <w:rsid w:val="00AD226E"/>
    <w:rsid w:val="00B02924"/>
    <w:rsid w:val="00B36E7E"/>
    <w:rsid w:val="00B54386"/>
    <w:rsid w:val="00BC5303"/>
    <w:rsid w:val="00BD5281"/>
    <w:rsid w:val="00BE14A8"/>
    <w:rsid w:val="00BE560F"/>
    <w:rsid w:val="00CA0FF8"/>
    <w:rsid w:val="00CE23C2"/>
    <w:rsid w:val="00CE540D"/>
    <w:rsid w:val="00D04C9B"/>
    <w:rsid w:val="00D43346"/>
    <w:rsid w:val="00D4376A"/>
    <w:rsid w:val="00DA7D91"/>
    <w:rsid w:val="00DB7094"/>
    <w:rsid w:val="00E2748B"/>
    <w:rsid w:val="00E67A00"/>
    <w:rsid w:val="00EC4583"/>
    <w:rsid w:val="00ED4826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EA5359"/>
  <w15:docId w15:val="{29A6984E-A304-434F-8707-7E81B362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19</cp:revision>
  <dcterms:created xsi:type="dcterms:W3CDTF">2018-11-20T08:56:00Z</dcterms:created>
  <dcterms:modified xsi:type="dcterms:W3CDTF">2022-04-06T06:46:00Z</dcterms:modified>
</cp:coreProperties>
</file>