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02" w:type="dxa"/>
        <w:tblInd w:w="-453" w:type="dxa"/>
        <w:tblCellMar>
          <w:left w:w="68" w:type="dxa"/>
          <w:right w:w="68" w:type="dxa"/>
        </w:tblCellMar>
        <w:tblLook w:val="0480" w:firstRow="0" w:lastRow="0" w:firstColumn="1" w:lastColumn="0" w:noHBand="0" w:noVBand="1"/>
      </w:tblPr>
      <w:tblGrid>
        <w:gridCol w:w="10302"/>
      </w:tblGrid>
      <w:tr w:rsidR="00D4376A" w:rsidRPr="00C23377" w:rsidTr="008B7258">
        <w:trPr>
          <w:trHeight w:val="1127"/>
        </w:trPr>
        <w:tc>
          <w:tcPr>
            <w:tcW w:w="10302" w:type="dxa"/>
            <w:shd w:val="clear" w:color="auto" w:fill="auto"/>
            <w:vAlign w:val="center"/>
          </w:tcPr>
          <w:p w:rsidR="00D4376A" w:rsidRPr="000C7588" w:rsidRDefault="00030A2B" w:rsidP="00030A2B">
            <w:pPr>
              <w:pStyle w:val="Default"/>
              <w:jc w:val="center"/>
              <w:rPr>
                <w:b/>
                <w:sz w:val="32"/>
                <w:szCs w:val="32"/>
              </w:rPr>
            </w:pPr>
            <w:r w:rsidRPr="000C7588">
              <w:rPr>
                <w:b/>
                <w:sz w:val="32"/>
                <w:szCs w:val="32"/>
              </w:rPr>
              <w:t>KÜTÜPHANE</w:t>
            </w:r>
            <w:r w:rsidR="00251279" w:rsidRPr="000C7588">
              <w:rPr>
                <w:b/>
                <w:sz w:val="32"/>
                <w:szCs w:val="32"/>
              </w:rPr>
              <w:t xml:space="preserve"> BAĞIŞ</w:t>
            </w:r>
            <w:r w:rsidRPr="000C7588">
              <w:rPr>
                <w:b/>
                <w:sz w:val="32"/>
                <w:szCs w:val="32"/>
              </w:rPr>
              <w:t xml:space="preserve"> KOMİSYONU</w:t>
            </w:r>
          </w:p>
        </w:tc>
      </w:tr>
      <w:tr w:rsidR="00BE1F35" w:rsidRPr="004F66A5" w:rsidTr="008B7258">
        <w:tc>
          <w:tcPr>
            <w:tcW w:w="10302" w:type="dxa"/>
            <w:shd w:val="clear" w:color="auto" w:fill="auto"/>
          </w:tcPr>
          <w:p w:rsidR="00C00C71" w:rsidRDefault="00C00C71" w:rsidP="00C00C71">
            <w:pPr>
              <w:pStyle w:val="ListeParagraf"/>
              <w:ind w:left="360"/>
              <w:rPr>
                <w:rFonts w:ascii="Times New Roman" w:hAnsi="Times New Roman" w:cs="Times New Roman"/>
                <w:i/>
                <w:color w:val="FF0000"/>
                <w:sz w:val="24"/>
                <w:szCs w:val="24"/>
              </w:rPr>
            </w:pPr>
          </w:p>
          <w:p w:rsidR="00904380" w:rsidRPr="00904380" w:rsidRDefault="00030A2B" w:rsidP="000C7588">
            <w:pPr>
              <w:autoSpaceDE w:val="0"/>
              <w:autoSpaceDN w:val="0"/>
              <w:adjustRightInd w:val="0"/>
              <w:ind w:left="708"/>
              <w:jc w:val="both"/>
              <w:rPr>
                <w:rFonts w:ascii="Times New Roman" w:eastAsia="Times New Roman" w:hAnsi="Times New Roman" w:cs="Times New Roman"/>
                <w:color w:val="70AD47" w:themeColor="accent6"/>
                <w:sz w:val="20"/>
                <w:szCs w:val="20"/>
                <w:lang w:eastAsia="tr-TR"/>
              </w:rPr>
            </w:pPr>
            <w:r w:rsidRPr="00D65710">
              <w:rPr>
                <w:rFonts w:ascii="Times New Roman" w:hAnsi="Times New Roman" w:cs="Times New Roman"/>
                <w:sz w:val="24"/>
                <w:szCs w:val="24"/>
              </w:rPr>
              <w:t>Kütüphane</w:t>
            </w:r>
            <w:r w:rsidR="002454A3" w:rsidRPr="00D65710">
              <w:rPr>
                <w:rFonts w:ascii="Times New Roman" w:hAnsi="Times New Roman" w:cs="Times New Roman"/>
                <w:sz w:val="24"/>
                <w:szCs w:val="24"/>
              </w:rPr>
              <w:t xml:space="preserve"> </w:t>
            </w:r>
            <w:r w:rsidR="00CA31E2" w:rsidRPr="00D65710">
              <w:rPr>
                <w:rFonts w:ascii="Times New Roman" w:hAnsi="Times New Roman" w:cs="Times New Roman"/>
                <w:sz w:val="24"/>
                <w:szCs w:val="24"/>
              </w:rPr>
              <w:t xml:space="preserve">Bağış </w:t>
            </w:r>
            <w:r w:rsidR="002454A3" w:rsidRPr="00D65710">
              <w:rPr>
                <w:rFonts w:ascii="Times New Roman" w:hAnsi="Times New Roman" w:cs="Times New Roman"/>
                <w:sz w:val="24"/>
                <w:szCs w:val="24"/>
              </w:rPr>
              <w:t>Komisyonunun görevi genel olarak;</w:t>
            </w:r>
            <w:r w:rsidR="002454A3" w:rsidRPr="006C2ABA">
              <w:rPr>
                <w:rFonts w:ascii="Times New Roman" w:hAnsi="Times New Roman" w:cs="Times New Roman"/>
                <w:color w:val="FF0000"/>
                <w:sz w:val="24"/>
                <w:szCs w:val="24"/>
              </w:rPr>
              <w:t xml:space="preserve"> </w:t>
            </w:r>
            <w:r w:rsidRPr="00030A2B">
              <w:rPr>
                <w:rFonts w:ascii="Times New Roman" w:hAnsi="Times New Roman" w:cs="Times New Roman"/>
                <w:sz w:val="24"/>
                <w:szCs w:val="24"/>
              </w:rPr>
              <w:t>Kütüphane ve Dokümantasyon Daire Başkanlığı</w:t>
            </w:r>
            <w:r w:rsidR="00904380">
              <w:rPr>
                <w:rFonts w:ascii="Times New Roman" w:hAnsi="Times New Roman" w:cs="Times New Roman"/>
                <w:sz w:val="24"/>
                <w:szCs w:val="24"/>
              </w:rPr>
              <w:t xml:space="preserve">na gerçek ve tüzel kişiler tarafından yapılacak materyal bağışlarını </w:t>
            </w:r>
            <w:r w:rsidRPr="00030A2B">
              <w:rPr>
                <w:rFonts w:ascii="Times New Roman" w:hAnsi="Times New Roman" w:cs="Times New Roman"/>
                <w:sz w:val="24"/>
                <w:szCs w:val="24"/>
              </w:rPr>
              <w:t xml:space="preserve">Dicle Üniversitesi Kütüphane ve </w:t>
            </w:r>
            <w:r>
              <w:rPr>
                <w:rFonts w:ascii="Times New Roman" w:hAnsi="Times New Roman" w:cs="Times New Roman"/>
                <w:sz w:val="24"/>
                <w:szCs w:val="24"/>
              </w:rPr>
              <w:t>D</w:t>
            </w:r>
            <w:r w:rsidRPr="00030A2B">
              <w:rPr>
                <w:rFonts w:ascii="Times New Roman" w:hAnsi="Times New Roman" w:cs="Times New Roman"/>
                <w:sz w:val="24"/>
                <w:szCs w:val="24"/>
              </w:rPr>
              <w:t xml:space="preserve">okümantasyon Daire </w:t>
            </w:r>
            <w:r>
              <w:rPr>
                <w:rFonts w:ascii="Times New Roman" w:hAnsi="Times New Roman" w:cs="Times New Roman"/>
                <w:sz w:val="24"/>
                <w:szCs w:val="24"/>
              </w:rPr>
              <w:t xml:space="preserve">Başkanlığı </w:t>
            </w:r>
            <w:r w:rsidR="00904380">
              <w:rPr>
                <w:rFonts w:ascii="Times New Roman" w:hAnsi="Times New Roman" w:cs="Times New Roman"/>
                <w:sz w:val="24"/>
                <w:szCs w:val="24"/>
              </w:rPr>
              <w:t>Bağış Yönergesi</w:t>
            </w:r>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ilgili maddeleri </w:t>
            </w:r>
            <w:r w:rsidR="00904380">
              <w:rPr>
                <w:rFonts w:ascii="Times New Roman" w:hAnsi="Times New Roman" w:cs="Times New Roman"/>
                <w:sz w:val="24"/>
                <w:szCs w:val="24"/>
              </w:rPr>
              <w:t xml:space="preserve">gereğince </w:t>
            </w:r>
            <w:r w:rsidR="00D014BE">
              <w:rPr>
                <w:rFonts w:ascii="Times New Roman" w:hAnsi="Times New Roman" w:cs="Times New Roman"/>
                <w:sz w:val="24"/>
                <w:szCs w:val="24"/>
              </w:rPr>
              <w:t xml:space="preserve">yapılacak olan </w:t>
            </w:r>
            <w:r w:rsidR="00104A5E" w:rsidRPr="00030A2B">
              <w:rPr>
                <w:rFonts w:ascii="Times New Roman" w:hAnsi="Times New Roman" w:cs="Times New Roman"/>
                <w:sz w:val="24"/>
                <w:szCs w:val="24"/>
              </w:rPr>
              <w:t>iş ve işlemleri yürütmektir.</w:t>
            </w:r>
          </w:p>
          <w:p w:rsidR="00104A5E" w:rsidRPr="00030A2B" w:rsidRDefault="00104A5E" w:rsidP="00030A2B">
            <w:pPr>
              <w:rPr>
                <w:rFonts w:ascii="Times New Roman" w:hAnsi="Times New Roman" w:cs="Times New Roman"/>
                <w:sz w:val="24"/>
                <w:szCs w:val="24"/>
              </w:rPr>
            </w:pPr>
          </w:p>
        </w:tc>
      </w:tr>
      <w:tr w:rsidR="00C00C71" w:rsidRPr="004F66A5" w:rsidTr="008B7258">
        <w:tc>
          <w:tcPr>
            <w:tcW w:w="10302" w:type="dxa"/>
            <w:shd w:val="clear" w:color="auto" w:fill="auto"/>
          </w:tcPr>
          <w:p w:rsidR="00AC286E" w:rsidRPr="00AC286E" w:rsidRDefault="00AC286E" w:rsidP="008B7258">
            <w:pPr>
              <w:pStyle w:val="ListeParagraf"/>
              <w:numPr>
                <w:ilvl w:val="0"/>
                <w:numId w:val="27"/>
              </w:numPr>
              <w:spacing w:before="100" w:beforeAutospacing="1" w:after="100" w:afterAutospacing="1"/>
              <w:rPr>
                <w:rFonts w:ascii="Times New Roman" w:eastAsia="Times New Roman" w:hAnsi="Times New Roman" w:cs="Times New Roman"/>
                <w:sz w:val="24"/>
                <w:szCs w:val="24"/>
                <w:lang w:eastAsia="tr-TR"/>
              </w:rPr>
            </w:pPr>
            <w:r w:rsidRPr="00AC286E">
              <w:rPr>
                <w:rFonts w:ascii="Times New Roman" w:eastAsia="Times New Roman" w:hAnsi="Times New Roman" w:cs="Times New Roman"/>
                <w:sz w:val="24"/>
                <w:szCs w:val="24"/>
                <w:lang w:eastAsia="tr-TR"/>
              </w:rPr>
              <w:t>Bağışlanmak istenen materyaller, sayısı ve niteliği açısından Komisyonca değerlendirilir.</w:t>
            </w:r>
          </w:p>
          <w:p w:rsidR="00D014BE" w:rsidRPr="00AC286E" w:rsidRDefault="00D014BE" w:rsidP="008B725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AC286E">
              <w:rPr>
                <w:rFonts w:ascii="Times New Roman" w:eastAsia="Times New Roman" w:hAnsi="Times New Roman" w:cs="Times New Roman"/>
                <w:sz w:val="24"/>
                <w:szCs w:val="24"/>
                <w:lang w:eastAsia="tr-TR"/>
              </w:rPr>
              <w:t xml:space="preserve">Gerçek veya tüzel kişinin, materyallerin yerinden teslim alınmasını talep ettiği durumlarda, eğer materyal sayısı 100’den fazla ise veya materyallerin nitelik itibariyle değerli olduğu düşünülüyorsa, en az iki komisyon üyesi, Daire Başkanlığının tahsis edeceği bir araç ve personel ile birlikte, materyallerin bulunduğu </w:t>
            </w:r>
            <w:proofErr w:type="gramStart"/>
            <w:r w:rsidRPr="00AC286E">
              <w:rPr>
                <w:rFonts w:ascii="Times New Roman" w:eastAsia="Times New Roman" w:hAnsi="Times New Roman" w:cs="Times New Roman"/>
                <w:sz w:val="24"/>
                <w:szCs w:val="24"/>
                <w:lang w:eastAsia="tr-TR"/>
              </w:rPr>
              <w:t>mekana</w:t>
            </w:r>
            <w:proofErr w:type="gramEnd"/>
            <w:r w:rsidRPr="00AC286E">
              <w:rPr>
                <w:rFonts w:ascii="Times New Roman" w:eastAsia="Times New Roman" w:hAnsi="Times New Roman" w:cs="Times New Roman"/>
                <w:sz w:val="24"/>
                <w:szCs w:val="24"/>
                <w:lang w:eastAsia="tr-TR"/>
              </w:rPr>
              <w:t xml:space="preserve"> giderek ön inceleme yapar. Bu ön inceleme sonucunda, kabul edilmesine karar verilen materyallerin kısa bibliyografik listesi (Eser adı, Yazar adı ve Yayın tarihi ) ve bir tesellüm tutanağı hazırlanarak başvuran kişi ve ön incelemeyi yapan Komisyon üyeleri tarafından imzalanır.</w:t>
            </w:r>
          </w:p>
          <w:p w:rsidR="00D014BE" w:rsidRPr="00AC286E" w:rsidRDefault="00D014BE" w:rsidP="008B725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AC286E">
              <w:rPr>
                <w:rFonts w:ascii="Times New Roman" w:eastAsia="Times New Roman" w:hAnsi="Times New Roman" w:cs="Times New Roman"/>
                <w:sz w:val="24"/>
                <w:szCs w:val="24"/>
                <w:lang w:eastAsia="tr-TR"/>
              </w:rPr>
              <w:t xml:space="preserve"> Başvuran kişi tarafından Daire Başkanlığına gönderilen ya da getirilen materyaller ise, en az iki komisyon üyesi tarafından ön incelemeye tabi tutulur. Bu ön inceleme sonucunda, kabul edilmesine karar verilen materyallerin de kısa bibliyografik listesi ve bir tesellüm tutanağı hazırlanarak başvuran kişi ve ön incelemeyi yapan Komisyon üyeleri tarafından imzalanır.</w:t>
            </w:r>
          </w:p>
          <w:p w:rsidR="00D014BE" w:rsidRPr="00AC286E" w:rsidRDefault="00D014BE" w:rsidP="008B725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AC286E">
              <w:rPr>
                <w:rFonts w:ascii="Times New Roman" w:eastAsia="Times New Roman" w:hAnsi="Times New Roman" w:cs="Times New Roman"/>
                <w:sz w:val="24"/>
                <w:szCs w:val="24"/>
                <w:lang w:eastAsia="tr-TR"/>
              </w:rPr>
              <w:t>Teslim alınan materyallerin Dicle Üniversitesi Kütüphane ve Dokümantasyon Daire Başkanlığı koleksiyonunda bulunup bulunmadığı, nitelikleri Komisyon üyeleri veya Daire Başkanlığınca görevlendirilecek personel tarafından kontrol edilir.</w:t>
            </w:r>
          </w:p>
          <w:p w:rsidR="00D014BE" w:rsidRPr="00AC286E" w:rsidRDefault="00D014BE" w:rsidP="008B725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AC286E">
              <w:rPr>
                <w:rFonts w:ascii="Times New Roman" w:eastAsia="Times New Roman" w:hAnsi="Times New Roman" w:cs="Times New Roman"/>
                <w:sz w:val="24"/>
                <w:szCs w:val="24"/>
                <w:lang w:eastAsia="tr-TR"/>
              </w:rPr>
              <w:t>Dicle Üniversitesi Kütüphane ve Dokümantasyon Daire Başkanlığı koleksiyonunda bulunmayan materyallerin her türlü kayıt işlemleri yapıldıktan sonra tutanak ve ekli listelerle materyal türlerine göre ilgili Şubelere teslim edilir. Materyallerin bibliyografik kimlikleri Dicle Üniversitesi Kütüphane ve Dokümantasyon Daire Başkanlığı veri tabanına aktarıldıktan sonra, taşınır mal işlemleri gerçekleştirilmek üzere yazı ile Taşınır Konsolide Görevlisine bildirilir. İşlemi tamamlanan materyaller kullanıcıların hizmetine sunulmak üzere raflara yerleştirilir.</w:t>
            </w:r>
          </w:p>
          <w:p w:rsidR="000C7588" w:rsidRPr="000C7588" w:rsidRDefault="002454A3" w:rsidP="000C758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AC286E">
              <w:rPr>
                <w:rFonts w:ascii="Times New Roman" w:hAnsi="Times New Roman" w:cs="Times New Roman"/>
                <w:sz w:val="24"/>
                <w:szCs w:val="24"/>
              </w:rPr>
              <w:t xml:space="preserve">Komisyonda alınan kararları </w:t>
            </w:r>
            <w:r w:rsidR="00AC286E" w:rsidRPr="00AC286E">
              <w:rPr>
                <w:rFonts w:ascii="Times New Roman" w:hAnsi="Times New Roman" w:cs="Times New Roman"/>
                <w:sz w:val="24"/>
                <w:szCs w:val="24"/>
              </w:rPr>
              <w:t>daire başkanına s</w:t>
            </w:r>
            <w:r w:rsidR="006C2ABA" w:rsidRPr="00AC286E">
              <w:rPr>
                <w:rFonts w:ascii="Times New Roman" w:hAnsi="Times New Roman" w:cs="Times New Roman"/>
                <w:sz w:val="24"/>
                <w:szCs w:val="24"/>
              </w:rPr>
              <w:t>unmak</w:t>
            </w:r>
            <w:r w:rsidR="000C7588">
              <w:rPr>
                <w:rFonts w:ascii="Times New Roman" w:hAnsi="Times New Roman" w:cs="Times New Roman"/>
                <w:sz w:val="24"/>
                <w:szCs w:val="24"/>
              </w:rPr>
              <w:t>.</w:t>
            </w:r>
          </w:p>
          <w:p w:rsidR="00C00C71" w:rsidRPr="000C7588" w:rsidRDefault="00AC286E" w:rsidP="000C7588">
            <w:pPr>
              <w:pStyle w:val="ListeParagraf"/>
              <w:numPr>
                <w:ilvl w:val="0"/>
                <w:numId w:val="27"/>
              </w:numPr>
              <w:spacing w:before="100" w:beforeAutospacing="1" w:after="100" w:afterAutospacing="1"/>
              <w:rPr>
                <w:rFonts w:ascii="Trebuchet MS" w:eastAsia="Times New Roman" w:hAnsi="Trebuchet MS" w:cs="Times New Roman"/>
                <w:sz w:val="24"/>
                <w:szCs w:val="24"/>
                <w:lang w:eastAsia="tr-TR"/>
              </w:rPr>
            </w:pPr>
            <w:r w:rsidRPr="000C7588">
              <w:rPr>
                <w:rFonts w:ascii="Times New Roman" w:hAnsi="Times New Roman" w:cs="Times New Roman"/>
                <w:sz w:val="24"/>
                <w:szCs w:val="24"/>
              </w:rPr>
              <w:t>Bağış k</w:t>
            </w:r>
            <w:r w:rsidR="002454A3" w:rsidRPr="000C7588">
              <w:rPr>
                <w:rFonts w:ascii="Times New Roman" w:hAnsi="Times New Roman" w:cs="Times New Roman"/>
                <w:sz w:val="24"/>
                <w:szCs w:val="24"/>
              </w:rPr>
              <w:t xml:space="preserve">omisyonu </w:t>
            </w:r>
            <w:r w:rsidR="008B7258" w:rsidRPr="000C7588">
              <w:rPr>
                <w:rFonts w:ascii="Times New Roman" w:hAnsi="Times New Roman" w:cs="Times New Roman"/>
                <w:sz w:val="24"/>
                <w:szCs w:val="24"/>
              </w:rPr>
              <w:t>Daire B</w:t>
            </w:r>
            <w:r w:rsidRPr="000C7588">
              <w:rPr>
                <w:rFonts w:ascii="Times New Roman" w:hAnsi="Times New Roman" w:cs="Times New Roman"/>
                <w:sz w:val="24"/>
                <w:szCs w:val="24"/>
              </w:rPr>
              <w:t>aşkanına</w:t>
            </w:r>
            <w:r w:rsidR="002454A3" w:rsidRPr="000C7588">
              <w:rPr>
                <w:rFonts w:ascii="Times New Roman" w:hAnsi="Times New Roman" w:cs="Times New Roman"/>
                <w:sz w:val="24"/>
                <w:szCs w:val="24"/>
              </w:rPr>
              <w:t xml:space="preserve"> karşı sorumludur</w:t>
            </w:r>
            <w:r w:rsidR="00030A2B" w:rsidRPr="000C7588">
              <w:rPr>
                <w:rFonts w:ascii="Times New Roman" w:hAnsi="Times New Roman" w:cs="Times New Roman"/>
                <w:sz w:val="24"/>
                <w:szCs w:val="24"/>
              </w:rPr>
              <w:t>.</w:t>
            </w:r>
          </w:p>
        </w:tc>
      </w:tr>
    </w:tbl>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Default="00296EFB" w:rsidP="00296EFB">
      <w:pPr>
        <w:rPr>
          <w:sz w:val="8"/>
          <w:szCs w:val="8"/>
        </w:rPr>
      </w:pPr>
    </w:p>
    <w:p w:rsidR="00296EFB" w:rsidRPr="00FD4DC2" w:rsidRDefault="00296EFB" w:rsidP="00296EFB">
      <w:pPr>
        <w:rPr>
          <w:sz w:val="8"/>
          <w:szCs w:val="8"/>
        </w:rPr>
      </w:pPr>
    </w:p>
    <w:tbl>
      <w:tblPr>
        <w:tblW w:w="11199" w:type="dxa"/>
        <w:tblInd w:w="-1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514"/>
        <w:gridCol w:w="4140"/>
        <w:gridCol w:w="1545"/>
      </w:tblGrid>
      <w:tr w:rsidR="00296EFB" w:rsidRPr="00F6674F" w:rsidTr="00D37847">
        <w:trPr>
          <w:cantSplit/>
          <w:trHeight w:val="383"/>
        </w:trPr>
        <w:tc>
          <w:tcPr>
            <w:tcW w:w="5514" w:type="dxa"/>
          </w:tcPr>
          <w:p w:rsidR="00296EFB" w:rsidRPr="00526DCF" w:rsidRDefault="00296EFB" w:rsidP="00D37847">
            <w:pPr>
              <w:pStyle w:val="AltBilgi"/>
              <w:jc w:val="center"/>
              <w:rPr>
                <w:rFonts w:ascii="Times New Roman" w:hAnsi="Times New Roman" w:cs="Times New Roman"/>
                <w:sz w:val="24"/>
                <w:szCs w:val="24"/>
              </w:rPr>
            </w:pPr>
            <w:r w:rsidRPr="00526DCF">
              <w:rPr>
                <w:rFonts w:ascii="Times New Roman" w:hAnsi="Times New Roman" w:cs="Times New Roman"/>
                <w:sz w:val="24"/>
                <w:szCs w:val="24"/>
              </w:rPr>
              <w:t>Hazırlayan</w:t>
            </w:r>
          </w:p>
          <w:p w:rsidR="00296EFB" w:rsidRPr="002D3986" w:rsidRDefault="00296EFB" w:rsidP="00D37847">
            <w:pPr>
              <w:pStyle w:val="AltBilgi"/>
              <w:jc w:val="center"/>
              <w:rPr>
                <w:sz w:val="24"/>
                <w:szCs w:val="24"/>
              </w:rPr>
            </w:pPr>
            <w:r>
              <w:rPr>
                <w:rFonts w:ascii="Times New Roman" w:hAnsi="Times New Roman" w:cs="Times New Roman"/>
                <w:sz w:val="24"/>
                <w:szCs w:val="24"/>
              </w:rPr>
              <w:t xml:space="preserve">Birim Kalite </w:t>
            </w:r>
            <w:r w:rsidRPr="00526DCF">
              <w:rPr>
                <w:rFonts w:ascii="Times New Roman" w:hAnsi="Times New Roman" w:cs="Times New Roman"/>
                <w:sz w:val="24"/>
                <w:szCs w:val="24"/>
              </w:rPr>
              <w:t>Temsilcisi</w:t>
            </w:r>
          </w:p>
        </w:tc>
        <w:tc>
          <w:tcPr>
            <w:tcW w:w="4140" w:type="dxa"/>
          </w:tcPr>
          <w:p w:rsidR="00296EFB" w:rsidRPr="00F04756" w:rsidRDefault="00296EFB" w:rsidP="00D37847">
            <w:pPr>
              <w:pStyle w:val="AltBilgi"/>
              <w:jc w:val="center"/>
              <w:rPr>
                <w:rFonts w:ascii="Times New Roman" w:hAnsi="Times New Roman" w:cs="Times New Roman"/>
                <w:sz w:val="24"/>
                <w:szCs w:val="24"/>
              </w:rPr>
            </w:pPr>
            <w:r w:rsidRPr="00F04756">
              <w:rPr>
                <w:rFonts w:ascii="Times New Roman" w:hAnsi="Times New Roman" w:cs="Times New Roman"/>
                <w:sz w:val="24"/>
                <w:szCs w:val="24"/>
              </w:rPr>
              <w:t>Onaylayan</w:t>
            </w:r>
          </w:p>
          <w:p w:rsidR="00296EFB" w:rsidRPr="002D3986" w:rsidRDefault="00296EFB" w:rsidP="00D37847">
            <w:pPr>
              <w:pStyle w:val="AltBilgi"/>
              <w:jc w:val="center"/>
              <w:rPr>
                <w:sz w:val="24"/>
                <w:szCs w:val="24"/>
              </w:rPr>
            </w:pPr>
            <w:r w:rsidRPr="00F04756">
              <w:rPr>
                <w:rFonts w:ascii="Times New Roman" w:hAnsi="Times New Roman" w:cs="Times New Roman"/>
                <w:sz w:val="24"/>
                <w:szCs w:val="24"/>
              </w:rPr>
              <w:t>Birim Yöneticisi</w:t>
            </w:r>
          </w:p>
        </w:tc>
        <w:tc>
          <w:tcPr>
            <w:tcW w:w="1545" w:type="dxa"/>
            <w:vMerge w:val="restart"/>
            <w:vAlign w:val="center"/>
          </w:tcPr>
          <w:p w:rsidR="00296EFB" w:rsidRPr="002D3986" w:rsidRDefault="00296EFB" w:rsidP="00D37847">
            <w:pPr>
              <w:pStyle w:val="AltBilgi"/>
              <w:jc w:val="center"/>
              <w:rPr>
                <w:b/>
              </w:rPr>
            </w:pPr>
            <w:r w:rsidRPr="002D3986">
              <w:rPr>
                <w:b/>
              </w:rPr>
              <w:t>Sayfa No</w:t>
            </w:r>
          </w:p>
          <w:p w:rsidR="00296EFB" w:rsidRPr="002D3986" w:rsidRDefault="001D4319" w:rsidP="00D37847">
            <w:pPr>
              <w:pStyle w:val="AltBilgi"/>
              <w:jc w:val="center"/>
            </w:pPr>
            <w:r w:rsidRPr="002D3986">
              <w:rPr>
                <w:rStyle w:val="SayfaNumaras"/>
                <w:b/>
              </w:rPr>
              <w:fldChar w:fldCharType="begin"/>
            </w:r>
            <w:r w:rsidR="00296EFB" w:rsidRPr="002D3986">
              <w:rPr>
                <w:rStyle w:val="SayfaNumaras"/>
                <w:b/>
              </w:rPr>
              <w:instrText xml:space="preserve"> PAGE </w:instrText>
            </w:r>
            <w:r w:rsidRPr="002D3986">
              <w:rPr>
                <w:rStyle w:val="SayfaNumaras"/>
                <w:b/>
              </w:rPr>
              <w:fldChar w:fldCharType="separate"/>
            </w:r>
            <w:r w:rsidR="00296EFB">
              <w:rPr>
                <w:rStyle w:val="SayfaNumaras"/>
                <w:b/>
                <w:noProof/>
              </w:rPr>
              <w:t>1</w:t>
            </w:r>
            <w:r w:rsidRPr="002D3986">
              <w:rPr>
                <w:rStyle w:val="SayfaNumaras"/>
                <w:b/>
              </w:rPr>
              <w:fldChar w:fldCharType="end"/>
            </w:r>
            <w:r w:rsidR="00296EFB" w:rsidRPr="002D3986">
              <w:rPr>
                <w:rStyle w:val="SayfaNumaras"/>
                <w:b/>
              </w:rPr>
              <w:t>/</w:t>
            </w:r>
            <w:r w:rsidRPr="002D3986">
              <w:rPr>
                <w:rStyle w:val="SayfaNumaras"/>
                <w:b/>
              </w:rPr>
              <w:fldChar w:fldCharType="begin"/>
            </w:r>
            <w:r w:rsidR="00296EFB" w:rsidRPr="002D3986">
              <w:rPr>
                <w:rStyle w:val="SayfaNumaras"/>
                <w:b/>
              </w:rPr>
              <w:instrText xml:space="preserve"> NUMPAGES </w:instrText>
            </w:r>
            <w:r w:rsidRPr="002D3986">
              <w:rPr>
                <w:rStyle w:val="SayfaNumaras"/>
                <w:b/>
              </w:rPr>
              <w:fldChar w:fldCharType="separate"/>
            </w:r>
            <w:r w:rsidR="00296EFB">
              <w:rPr>
                <w:rStyle w:val="SayfaNumaras"/>
                <w:b/>
                <w:noProof/>
              </w:rPr>
              <w:t>1</w:t>
            </w:r>
            <w:r w:rsidRPr="002D3986">
              <w:rPr>
                <w:rStyle w:val="SayfaNumaras"/>
                <w:b/>
              </w:rPr>
              <w:fldChar w:fldCharType="end"/>
            </w:r>
          </w:p>
        </w:tc>
      </w:tr>
      <w:tr w:rsidR="00296EFB" w:rsidRPr="00F6674F" w:rsidTr="00D37847">
        <w:trPr>
          <w:cantSplit/>
          <w:trHeight w:val="756"/>
        </w:trPr>
        <w:tc>
          <w:tcPr>
            <w:tcW w:w="5514" w:type="dxa"/>
          </w:tcPr>
          <w:p w:rsidR="00296EFB" w:rsidRPr="002D3986" w:rsidRDefault="00296EFB" w:rsidP="00D37847">
            <w:pPr>
              <w:pStyle w:val="AltBilgi"/>
              <w:jc w:val="center"/>
              <w:rPr>
                <w:sz w:val="24"/>
                <w:szCs w:val="24"/>
              </w:rPr>
            </w:pPr>
          </w:p>
        </w:tc>
        <w:tc>
          <w:tcPr>
            <w:tcW w:w="4140" w:type="dxa"/>
          </w:tcPr>
          <w:p w:rsidR="00296EFB" w:rsidRPr="002D3986" w:rsidRDefault="00296EFB" w:rsidP="00D37847">
            <w:pPr>
              <w:pStyle w:val="AltBilgi"/>
              <w:jc w:val="center"/>
              <w:rPr>
                <w:sz w:val="24"/>
                <w:szCs w:val="24"/>
              </w:rPr>
            </w:pPr>
          </w:p>
        </w:tc>
        <w:tc>
          <w:tcPr>
            <w:tcW w:w="1545" w:type="dxa"/>
            <w:vMerge/>
          </w:tcPr>
          <w:p w:rsidR="00296EFB" w:rsidRPr="002D3986" w:rsidRDefault="00296EFB" w:rsidP="00D37847">
            <w:pPr>
              <w:pStyle w:val="AltBilgi"/>
              <w:jc w:val="center"/>
              <w:rPr>
                <w:sz w:val="24"/>
                <w:szCs w:val="24"/>
              </w:rPr>
            </w:pPr>
          </w:p>
        </w:tc>
      </w:tr>
    </w:tbl>
    <w:p w:rsidR="00296EFB" w:rsidRPr="00C3495D" w:rsidRDefault="00296EFB" w:rsidP="00296EFB">
      <w:pPr>
        <w:pStyle w:val="AltBilgi"/>
        <w:ind w:hanging="1276"/>
        <w:rPr>
          <w:rFonts w:ascii="Times New Roman" w:hAnsi="Times New Roman"/>
          <w:sz w:val="20"/>
          <w:szCs w:val="20"/>
        </w:rPr>
      </w:pPr>
      <w:r>
        <w:rPr>
          <w:rFonts w:ascii="Times New Roman" w:hAnsi="Times New Roman"/>
          <w:sz w:val="20"/>
          <w:szCs w:val="20"/>
        </w:rPr>
        <w:t>KYK-</w:t>
      </w:r>
      <w:r w:rsidRPr="00C3495D">
        <w:rPr>
          <w:rFonts w:ascii="Times New Roman" w:hAnsi="Times New Roman"/>
          <w:sz w:val="20"/>
          <w:szCs w:val="20"/>
        </w:rPr>
        <w:t>FRM-</w:t>
      </w:r>
      <w:r>
        <w:rPr>
          <w:rFonts w:ascii="Times New Roman" w:hAnsi="Times New Roman"/>
          <w:sz w:val="20"/>
          <w:szCs w:val="20"/>
        </w:rPr>
        <w:t>0</w:t>
      </w:r>
      <w:r w:rsidRPr="00C3495D">
        <w:rPr>
          <w:rFonts w:ascii="Times New Roman" w:hAnsi="Times New Roman"/>
          <w:sz w:val="20"/>
          <w:szCs w:val="20"/>
        </w:rPr>
        <w:t>03 / 00</w:t>
      </w:r>
    </w:p>
    <w:p w:rsidR="00296EFB" w:rsidRDefault="00296EFB" w:rsidP="00296EFB">
      <w:pPr>
        <w:pStyle w:val="AltBilgi"/>
      </w:pPr>
    </w:p>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15" w:rsidRDefault="00212C15" w:rsidP="00D4376A">
      <w:pPr>
        <w:spacing w:after="0" w:line="240" w:lineRule="auto"/>
      </w:pPr>
      <w:r>
        <w:separator/>
      </w:r>
    </w:p>
  </w:endnote>
  <w:endnote w:type="continuationSeparator" w:id="0">
    <w:p w:rsidR="00212C15" w:rsidRDefault="00212C1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B" w:rsidRDefault="005F23F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EFB" w:rsidRDefault="00296EFB" w:rsidP="00296EFB">
    <w:pPr>
      <w:rPr>
        <w:sz w:val="8"/>
        <w:szCs w:val="8"/>
      </w:rPr>
    </w:pPr>
  </w:p>
  <w:p w:rsidR="00296EFB" w:rsidRPr="00FD4DC2" w:rsidRDefault="00296EFB" w:rsidP="00296EFB">
    <w:pPr>
      <w:rPr>
        <w:sz w:val="8"/>
        <w:szCs w:val="8"/>
      </w:rPr>
    </w:pPr>
  </w:p>
  <w:tbl>
    <w:tblPr>
      <w:tblW w:w="11199" w:type="dxa"/>
      <w:tblInd w:w="-1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514"/>
      <w:gridCol w:w="4140"/>
      <w:gridCol w:w="1545"/>
    </w:tblGrid>
    <w:tr w:rsidR="00296EFB" w:rsidRPr="00F6674F" w:rsidTr="00D37847">
      <w:trPr>
        <w:cantSplit/>
        <w:trHeight w:val="383"/>
      </w:trPr>
      <w:tc>
        <w:tcPr>
          <w:tcW w:w="5514" w:type="dxa"/>
        </w:tcPr>
        <w:p w:rsidR="00296EFB" w:rsidRPr="00526DCF" w:rsidRDefault="00296EFB" w:rsidP="00D37847">
          <w:pPr>
            <w:pStyle w:val="AltBilgi"/>
            <w:jc w:val="center"/>
            <w:rPr>
              <w:rFonts w:ascii="Times New Roman" w:hAnsi="Times New Roman" w:cs="Times New Roman"/>
              <w:sz w:val="24"/>
              <w:szCs w:val="24"/>
            </w:rPr>
          </w:pPr>
          <w:r w:rsidRPr="00526DCF">
            <w:rPr>
              <w:rFonts w:ascii="Times New Roman" w:hAnsi="Times New Roman" w:cs="Times New Roman"/>
              <w:sz w:val="24"/>
              <w:szCs w:val="24"/>
            </w:rPr>
            <w:t>Hazırlayan</w:t>
          </w:r>
        </w:p>
        <w:p w:rsidR="00296EFB" w:rsidRPr="002D3986" w:rsidRDefault="00296EFB" w:rsidP="00D37847">
          <w:pPr>
            <w:pStyle w:val="AltBilgi"/>
            <w:jc w:val="center"/>
            <w:rPr>
              <w:sz w:val="24"/>
              <w:szCs w:val="24"/>
            </w:rPr>
          </w:pPr>
          <w:r>
            <w:rPr>
              <w:rFonts w:ascii="Times New Roman" w:hAnsi="Times New Roman" w:cs="Times New Roman"/>
              <w:sz w:val="24"/>
              <w:szCs w:val="24"/>
            </w:rPr>
            <w:t xml:space="preserve">Birim Kalite </w:t>
          </w:r>
          <w:r w:rsidRPr="00526DCF">
            <w:rPr>
              <w:rFonts w:ascii="Times New Roman" w:hAnsi="Times New Roman" w:cs="Times New Roman"/>
              <w:sz w:val="24"/>
              <w:szCs w:val="24"/>
            </w:rPr>
            <w:t>Temsilcisi</w:t>
          </w:r>
        </w:p>
      </w:tc>
      <w:tc>
        <w:tcPr>
          <w:tcW w:w="4140" w:type="dxa"/>
        </w:tcPr>
        <w:p w:rsidR="00296EFB" w:rsidRPr="00F04756" w:rsidRDefault="00296EFB" w:rsidP="00D37847">
          <w:pPr>
            <w:pStyle w:val="AltBilgi"/>
            <w:jc w:val="center"/>
            <w:rPr>
              <w:rFonts w:ascii="Times New Roman" w:hAnsi="Times New Roman" w:cs="Times New Roman"/>
              <w:sz w:val="24"/>
              <w:szCs w:val="24"/>
            </w:rPr>
          </w:pPr>
          <w:r w:rsidRPr="00F04756">
            <w:rPr>
              <w:rFonts w:ascii="Times New Roman" w:hAnsi="Times New Roman" w:cs="Times New Roman"/>
              <w:sz w:val="24"/>
              <w:szCs w:val="24"/>
            </w:rPr>
            <w:t>Onaylayan</w:t>
          </w:r>
        </w:p>
        <w:p w:rsidR="00296EFB" w:rsidRPr="002D3986" w:rsidRDefault="00296EFB" w:rsidP="00D37847">
          <w:pPr>
            <w:pStyle w:val="AltBilgi"/>
            <w:jc w:val="center"/>
            <w:rPr>
              <w:sz w:val="24"/>
              <w:szCs w:val="24"/>
            </w:rPr>
          </w:pPr>
          <w:r w:rsidRPr="00F04756">
            <w:rPr>
              <w:rFonts w:ascii="Times New Roman" w:hAnsi="Times New Roman" w:cs="Times New Roman"/>
              <w:sz w:val="24"/>
              <w:szCs w:val="24"/>
            </w:rPr>
            <w:t>Birim Yöneticisi</w:t>
          </w:r>
        </w:p>
      </w:tc>
      <w:tc>
        <w:tcPr>
          <w:tcW w:w="1545" w:type="dxa"/>
          <w:vMerge w:val="restart"/>
          <w:vAlign w:val="center"/>
        </w:tcPr>
        <w:p w:rsidR="00296EFB" w:rsidRPr="002D3986" w:rsidRDefault="00296EFB" w:rsidP="00D37847">
          <w:pPr>
            <w:pStyle w:val="AltBilgi"/>
            <w:jc w:val="center"/>
            <w:rPr>
              <w:b/>
            </w:rPr>
          </w:pPr>
          <w:r w:rsidRPr="002D3986">
            <w:rPr>
              <w:b/>
            </w:rPr>
            <w:t>Sayfa No</w:t>
          </w:r>
        </w:p>
        <w:p w:rsidR="00296EFB" w:rsidRPr="002D3986" w:rsidRDefault="00296EFB" w:rsidP="00D37847">
          <w:pPr>
            <w:pStyle w:val="AltBilgi"/>
            <w:jc w:val="center"/>
          </w:pPr>
        </w:p>
      </w:tc>
    </w:tr>
    <w:tr w:rsidR="00296EFB" w:rsidRPr="00F6674F" w:rsidTr="00D37847">
      <w:trPr>
        <w:cantSplit/>
        <w:trHeight w:val="756"/>
      </w:trPr>
      <w:tc>
        <w:tcPr>
          <w:tcW w:w="5514" w:type="dxa"/>
        </w:tcPr>
        <w:p w:rsidR="00296EFB" w:rsidRPr="002D3986" w:rsidRDefault="00296EFB" w:rsidP="00D37847">
          <w:pPr>
            <w:pStyle w:val="AltBilgi"/>
            <w:jc w:val="center"/>
            <w:rPr>
              <w:sz w:val="24"/>
              <w:szCs w:val="24"/>
            </w:rPr>
          </w:pPr>
        </w:p>
      </w:tc>
      <w:tc>
        <w:tcPr>
          <w:tcW w:w="4140" w:type="dxa"/>
        </w:tcPr>
        <w:p w:rsidR="00296EFB" w:rsidRPr="002D3986" w:rsidRDefault="00296EFB" w:rsidP="00D37847">
          <w:pPr>
            <w:pStyle w:val="AltBilgi"/>
            <w:jc w:val="center"/>
            <w:rPr>
              <w:sz w:val="24"/>
              <w:szCs w:val="24"/>
            </w:rPr>
          </w:pPr>
        </w:p>
      </w:tc>
      <w:tc>
        <w:tcPr>
          <w:tcW w:w="1545" w:type="dxa"/>
          <w:vMerge/>
        </w:tcPr>
        <w:p w:rsidR="00296EFB" w:rsidRPr="002D3986" w:rsidRDefault="00296EFB" w:rsidP="00D37847">
          <w:pPr>
            <w:pStyle w:val="AltBilgi"/>
            <w:jc w:val="center"/>
            <w:rPr>
              <w:sz w:val="24"/>
              <w:szCs w:val="24"/>
            </w:rPr>
          </w:pPr>
        </w:p>
      </w:tc>
    </w:tr>
  </w:tbl>
  <w:p w:rsidR="00296EFB" w:rsidRPr="00C3495D" w:rsidRDefault="00296EFB" w:rsidP="00296EFB">
    <w:pPr>
      <w:pStyle w:val="AltBilgi"/>
      <w:ind w:hanging="1276"/>
      <w:rPr>
        <w:rFonts w:ascii="Times New Roman" w:hAnsi="Times New Roman"/>
        <w:sz w:val="20"/>
        <w:szCs w:val="20"/>
      </w:rPr>
    </w:pPr>
    <w:r>
      <w:rPr>
        <w:rFonts w:ascii="Times New Roman" w:hAnsi="Times New Roman"/>
        <w:sz w:val="20"/>
        <w:szCs w:val="20"/>
      </w:rPr>
      <w:t>KYK-</w:t>
    </w:r>
    <w:r w:rsidRPr="00C3495D">
      <w:rPr>
        <w:rFonts w:ascii="Times New Roman" w:hAnsi="Times New Roman"/>
        <w:sz w:val="20"/>
        <w:szCs w:val="20"/>
      </w:rPr>
      <w:t>FRM-</w:t>
    </w:r>
    <w:r>
      <w:rPr>
        <w:rFonts w:ascii="Times New Roman" w:hAnsi="Times New Roman"/>
        <w:sz w:val="20"/>
        <w:szCs w:val="20"/>
      </w:rPr>
      <w:t>0</w:t>
    </w:r>
    <w:r w:rsidRPr="00C3495D">
      <w:rPr>
        <w:rFonts w:ascii="Times New Roman" w:hAnsi="Times New Roman"/>
        <w:sz w:val="20"/>
        <w:szCs w:val="20"/>
      </w:rPr>
      <w:t xml:space="preserve">03 / </w:t>
    </w:r>
    <w:r w:rsidRPr="00C3495D">
      <w:rPr>
        <w:rFonts w:ascii="Times New Roman" w:hAnsi="Times New Roman"/>
        <w:sz w:val="20"/>
        <w:szCs w:val="20"/>
      </w:rPr>
      <w:t>0</w:t>
    </w:r>
    <w:r w:rsidR="005B281F">
      <w:rPr>
        <w:rFonts w:ascii="Times New Roman" w:hAnsi="Times New Roman"/>
        <w:sz w:val="20"/>
        <w:szCs w:val="20"/>
      </w:rPr>
      <w:t>2</w:t>
    </w:r>
    <w:bookmarkStart w:id="0" w:name="_GoBack"/>
    <w:bookmarkEnd w:id="0"/>
  </w:p>
  <w:p w:rsidR="00296EFB" w:rsidRDefault="00296EFB" w:rsidP="00296EFB">
    <w:pPr>
      <w:pStyle w:val="AltBilgi"/>
    </w:pPr>
  </w:p>
  <w:p w:rsidR="00366BB5" w:rsidRPr="00296EFB" w:rsidRDefault="00366BB5" w:rsidP="00296EFB">
    <w:pPr>
      <w:pStyle w:val="AltBilgi"/>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B" w:rsidRDefault="005F23F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15" w:rsidRDefault="00212C15" w:rsidP="00D4376A">
      <w:pPr>
        <w:spacing w:after="0" w:line="240" w:lineRule="auto"/>
      </w:pPr>
      <w:r>
        <w:separator/>
      </w:r>
    </w:p>
  </w:footnote>
  <w:footnote w:type="continuationSeparator" w:id="0">
    <w:p w:rsidR="00212C15" w:rsidRDefault="00212C1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B" w:rsidRDefault="005F23F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5896"/>
      <w:gridCol w:w="1559"/>
      <w:gridCol w:w="1417"/>
    </w:tblGrid>
    <w:tr w:rsidR="00D4376A" w:rsidTr="0053024A">
      <w:trPr>
        <w:cantSplit/>
        <w:trHeight w:val="300"/>
      </w:trPr>
      <w:tc>
        <w:tcPr>
          <w:tcW w:w="693" w:type="pct"/>
          <w:vMerge w:val="restart"/>
          <w:vAlign w:val="center"/>
          <w:hideMark/>
        </w:tcPr>
        <w:p w:rsidR="00D4376A" w:rsidRDefault="005B281F" w:rsidP="00D4376A">
          <w:pPr>
            <w:pStyle w:val="stBilgi"/>
            <w:jc w:val="center"/>
            <w:rPr>
              <w:rFonts w:ascii="Century Gothic" w:hAnsi="Century Gothic"/>
            </w:rPr>
          </w:pPr>
          <w:r>
            <w:rPr>
              <w:noProof/>
              <w:lang w:eastAsia="tr-TR"/>
            </w:rPr>
            <w:drawing>
              <wp:inline distT="0" distB="0" distL="0" distR="0" wp14:anchorId="52F5B92E" wp14:editId="37CE0E73">
                <wp:extent cx="747395" cy="730885"/>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0885"/>
                        </a:xfrm>
                        <a:prstGeom prst="rect">
                          <a:avLst/>
                        </a:prstGeom>
                        <a:noFill/>
                        <a:ln>
                          <a:noFill/>
                        </a:ln>
                      </pic:spPr>
                    </pic:pic>
                  </a:graphicData>
                </a:graphic>
              </wp:inline>
            </w:drawing>
          </w:r>
        </w:p>
      </w:tc>
      <w:tc>
        <w:tcPr>
          <w:tcW w:w="286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53024A" w:rsidRDefault="0053024A" w:rsidP="0053024A">
          <w:pPr>
            <w:pStyle w:val="stBilgi"/>
            <w:rPr>
              <w:rFonts w:ascii="Times New Roman" w:hAnsi="Times New Roman" w:cs="Times New Roman"/>
              <w:b/>
              <w:sz w:val="32"/>
              <w:szCs w:val="32"/>
            </w:rPr>
          </w:pPr>
          <w:r>
            <w:rPr>
              <w:rFonts w:ascii="Times New Roman" w:hAnsi="Times New Roman" w:cs="Times New Roman"/>
              <w:b/>
              <w:sz w:val="32"/>
              <w:szCs w:val="32"/>
            </w:rPr>
            <w:t xml:space="preserve">KÜTÜPHANE VE DOKÜMANTASYON </w:t>
          </w:r>
        </w:p>
        <w:p w:rsidR="00D4376A" w:rsidRDefault="0053024A" w:rsidP="002602A8">
          <w:pPr>
            <w:pStyle w:val="stBilgi"/>
            <w:jc w:val="center"/>
            <w:rPr>
              <w:rFonts w:ascii="Times New Roman" w:hAnsi="Times New Roman" w:cs="Times New Roman"/>
              <w:b/>
              <w:sz w:val="32"/>
              <w:szCs w:val="32"/>
            </w:rPr>
          </w:pPr>
          <w:r>
            <w:rPr>
              <w:rFonts w:ascii="Times New Roman" w:hAnsi="Times New Roman" w:cs="Times New Roman"/>
              <w:b/>
              <w:sz w:val="32"/>
              <w:szCs w:val="32"/>
            </w:rPr>
            <w:t>DAİRE BAŞKANLIĞI</w:t>
          </w:r>
        </w:p>
        <w:p w:rsidR="004834CF" w:rsidRPr="00021CEA" w:rsidRDefault="004834CF" w:rsidP="002602A8">
          <w:pPr>
            <w:pStyle w:val="stBilgi"/>
            <w:jc w:val="center"/>
            <w:rPr>
              <w:rFonts w:ascii="Times New Roman" w:hAnsi="Times New Roman" w:cs="Times New Roman"/>
              <w:b/>
              <w:sz w:val="28"/>
              <w:szCs w:val="28"/>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8" w:type="pct"/>
          <w:vAlign w:val="center"/>
          <w:hideMark/>
        </w:tcPr>
        <w:p w:rsidR="00D4376A" w:rsidRPr="002F2A17" w:rsidRDefault="00657120" w:rsidP="00CA31E2">
          <w:pPr>
            <w:pStyle w:val="stBilgi"/>
            <w:rPr>
              <w:rFonts w:ascii="Times New Roman" w:hAnsi="Times New Roman" w:cs="Times New Roman"/>
              <w:b/>
              <w:bCs/>
              <w:sz w:val="18"/>
              <w:szCs w:val="18"/>
            </w:rPr>
          </w:pPr>
          <w:r>
            <w:rPr>
              <w:rFonts w:ascii="Times New Roman" w:hAnsi="Times New Roman" w:cs="Times New Roman"/>
              <w:b/>
              <w:bCs/>
              <w:sz w:val="18"/>
              <w:szCs w:val="18"/>
            </w:rPr>
            <w:t>KD</w:t>
          </w:r>
          <w:r w:rsidR="00A64ED7">
            <w:rPr>
              <w:rFonts w:ascii="Times New Roman" w:hAnsi="Times New Roman" w:cs="Times New Roman"/>
              <w:b/>
              <w:bCs/>
              <w:sz w:val="18"/>
              <w:szCs w:val="18"/>
            </w:rPr>
            <w:t>D</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030A2B">
            <w:rPr>
              <w:rFonts w:ascii="Times New Roman" w:hAnsi="Times New Roman" w:cs="Times New Roman"/>
              <w:b/>
              <w:bCs/>
              <w:sz w:val="18"/>
              <w:szCs w:val="18"/>
            </w:rPr>
            <w:t>5</w:t>
          </w:r>
          <w:r w:rsidR="00CA31E2">
            <w:rPr>
              <w:rFonts w:ascii="Times New Roman" w:hAnsi="Times New Roman" w:cs="Times New Roman"/>
              <w:b/>
              <w:bCs/>
              <w:sz w:val="18"/>
              <w:szCs w:val="18"/>
            </w:rPr>
            <w:t>1</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8" w:type="pct"/>
          <w:vAlign w:val="center"/>
          <w:hideMark/>
        </w:tcPr>
        <w:p w:rsidR="00D4376A" w:rsidRPr="002F2A17" w:rsidRDefault="0053024A"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20105F">
            <w:rPr>
              <w:rFonts w:ascii="Times New Roman" w:hAnsi="Times New Roman" w:cs="Times New Roman"/>
              <w:b/>
              <w:bCs/>
              <w:sz w:val="18"/>
              <w:szCs w:val="18"/>
            </w:rPr>
            <w:t>2018</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8" w:type="pct"/>
          <w:vAlign w:val="center"/>
        </w:tcPr>
        <w:p w:rsidR="00D4376A" w:rsidRPr="002F2A17" w:rsidRDefault="005B281F"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B" w:rsidRDefault="005F23F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7968FA"/>
    <w:multiLevelType w:val="hybridMultilevel"/>
    <w:tmpl w:val="F7FE68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FB63D56"/>
    <w:multiLevelType w:val="hybridMultilevel"/>
    <w:tmpl w:val="807EE3FC"/>
    <w:lvl w:ilvl="0" w:tplc="041F0001">
      <w:start w:val="1"/>
      <w:numFmt w:val="bullet"/>
      <w:lvlText w:val=""/>
      <w:lvlJc w:val="left"/>
      <w:pPr>
        <w:ind w:left="1599" w:hanging="360"/>
      </w:pPr>
      <w:rPr>
        <w:rFonts w:ascii="Symbol" w:hAnsi="Symbol" w:hint="default"/>
      </w:rPr>
    </w:lvl>
    <w:lvl w:ilvl="1" w:tplc="041F0003" w:tentative="1">
      <w:start w:val="1"/>
      <w:numFmt w:val="bullet"/>
      <w:lvlText w:val="o"/>
      <w:lvlJc w:val="left"/>
      <w:pPr>
        <w:ind w:left="2319" w:hanging="360"/>
      </w:pPr>
      <w:rPr>
        <w:rFonts w:ascii="Courier New" w:hAnsi="Courier New" w:cs="Courier New" w:hint="default"/>
      </w:rPr>
    </w:lvl>
    <w:lvl w:ilvl="2" w:tplc="041F0005" w:tentative="1">
      <w:start w:val="1"/>
      <w:numFmt w:val="bullet"/>
      <w:lvlText w:val=""/>
      <w:lvlJc w:val="left"/>
      <w:pPr>
        <w:ind w:left="3039" w:hanging="360"/>
      </w:pPr>
      <w:rPr>
        <w:rFonts w:ascii="Wingdings" w:hAnsi="Wingdings" w:hint="default"/>
      </w:rPr>
    </w:lvl>
    <w:lvl w:ilvl="3" w:tplc="041F0001" w:tentative="1">
      <w:start w:val="1"/>
      <w:numFmt w:val="bullet"/>
      <w:lvlText w:val=""/>
      <w:lvlJc w:val="left"/>
      <w:pPr>
        <w:ind w:left="3759" w:hanging="360"/>
      </w:pPr>
      <w:rPr>
        <w:rFonts w:ascii="Symbol" w:hAnsi="Symbol" w:hint="default"/>
      </w:rPr>
    </w:lvl>
    <w:lvl w:ilvl="4" w:tplc="041F0003" w:tentative="1">
      <w:start w:val="1"/>
      <w:numFmt w:val="bullet"/>
      <w:lvlText w:val="o"/>
      <w:lvlJc w:val="left"/>
      <w:pPr>
        <w:ind w:left="4479" w:hanging="360"/>
      </w:pPr>
      <w:rPr>
        <w:rFonts w:ascii="Courier New" w:hAnsi="Courier New" w:cs="Courier New" w:hint="default"/>
      </w:rPr>
    </w:lvl>
    <w:lvl w:ilvl="5" w:tplc="041F0005" w:tentative="1">
      <w:start w:val="1"/>
      <w:numFmt w:val="bullet"/>
      <w:lvlText w:val=""/>
      <w:lvlJc w:val="left"/>
      <w:pPr>
        <w:ind w:left="5199" w:hanging="360"/>
      </w:pPr>
      <w:rPr>
        <w:rFonts w:ascii="Wingdings" w:hAnsi="Wingdings" w:hint="default"/>
      </w:rPr>
    </w:lvl>
    <w:lvl w:ilvl="6" w:tplc="041F0001" w:tentative="1">
      <w:start w:val="1"/>
      <w:numFmt w:val="bullet"/>
      <w:lvlText w:val=""/>
      <w:lvlJc w:val="left"/>
      <w:pPr>
        <w:ind w:left="5919" w:hanging="360"/>
      </w:pPr>
      <w:rPr>
        <w:rFonts w:ascii="Symbol" w:hAnsi="Symbol" w:hint="default"/>
      </w:rPr>
    </w:lvl>
    <w:lvl w:ilvl="7" w:tplc="041F0003" w:tentative="1">
      <w:start w:val="1"/>
      <w:numFmt w:val="bullet"/>
      <w:lvlText w:val="o"/>
      <w:lvlJc w:val="left"/>
      <w:pPr>
        <w:ind w:left="6639" w:hanging="360"/>
      </w:pPr>
      <w:rPr>
        <w:rFonts w:ascii="Courier New" w:hAnsi="Courier New" w:cs="Courier New" w:hint="default"/>
      </w:rPr>
    </w:lvl>
    <w:lvl w:ilvl="8" w:tplc="041F0005" w:tentative="1">
      <w:start w:val="1"/>
      <w:numFmt w:val="bullet"/>
      <w:lvlText w:val=""/>
      <w:lvlJc w:val="left"/>
      <w:pPr>
        <w:ind w:left="7359"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457CDF"/>
    <w:multiLevelType w:val="hybridMultilevel"/>
    <w:tmpl w:val="B0BC9D3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375D2533"/>
    <w:multiLevelType w:val="hybridMultilevel"/>
    <w:tmpl w:val="7A6E3D42"/>
    <w:lvl w:ilvl="0" w:tplc="35E0509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D16338"/>
    <w:multiLevelType w:val="hybridMultilevel"/>
    <w:tmpl w:val="3E547A5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9" w15:restartNumberingAfterBreak="0">
    <w:nsid w:val="46D76755"/>
    <w:multiLevelType w:val="hybridMultilevel"/>
    <w:tmpl w:val="E5E4E20A"/>
    <w:lvl w:ilvl="0" w:tplc="B0C4DC2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4510CF"/>
    <w:multiLevelType w:val="hybridMultilevel"/>
    <w:tmpl w:val="00E6B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20"/>
  </w:num>
  <w:num w:numId="4">
    <w:abstractNumId w:val="25"/>
  </w:num>
  <w:num w:numId="5">
    <w:abstractNumId w:val="4"/>
  </w:num>
  <w:num w:numId="6">
    <w:abstractNumId w:val="21"/>
  </w:num>
  <w:num w:numId="7">
    <w:abstractNumId w:val="9"/>
  </w:num>
  <w:num w:numId="8">
    <w:abstractNumId w:val="0"/>
  </w:num>
  <w:num w:numId="9">
    <w:abstractNumId w:val="17"/>
  </w:num>
  <w:num w:numId="10">
    <w:abstractNumId w:val="13"/>
  </w:num>
  <w:num w:numId="11">
    <w:abstractNumId w:val="27"/>
  </w:num>
  <w:num w:numId="12">
    <w:abstractNumId w:val="11"/>
  </w:num>
  <w:num w:numId="13">
    <w:abstractNumId w:val="2"/>
  </w:num>
  <w:num w:numId="14">
    <w:abstractNumId w:val="1"/>
  </w:num>
  <w:num w:numId="15">
    <w:abstractNumId w:val="22"/>
  </w:num>
  <w:num w:numId="16">
    <w:abstractNumId w:val="12"/>
  </w:num>
  <w:num w:numId="17">
    <w:abstractNumId w:val="3"/>
  </w:num>
  <w:num w:numId="18">
    <w:abstractNumId w:val="10"/>
  </w:num>
  <w:num w:numId="19">
    <w:abstractNumId w:val="7"/>
  </w:num>
  <w:num w:numId="20">
    <w:abstractNumId w:val="6"/>
  </w:num>
  <w:num w:numId="21">
    <w:abstractNumId w:val="26"/>
  </w:num>
  <w:num w:numId="22">
    <w:abstractNumId w:val="14"/>
  </w:num>
  <w:num w:numId="23">
    <w:abstractNumId w:val="19"/>
  </w:num>
  <w:num w:numId="24">
    <w:abstractNumId w:val="18"/>
  </w:num>
  <w:num w:numId="25">
    <w:abstractNumId w:val="15"/>
  </w:num>
  <w:num w:numId="26">
    <w:abstractNumId w:val="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02DE6"/>
    <w:rsid w:val="00017C48"/>
    <w:rsid w:val="00021CEA"/>
    <w:rsid w:val="000251AF"/>
    <w:rsid w:val="00030A2B"/>
    <w:rsid w:val="00033216"/>
    <w:rsid w:val="00054B87"/>
    <w:rsid w:val="00061F18"/>
    <w:rsid w:val="000628D2"/>
    <w:rsid w:val="000A6D04"/>
    <w:rsid w:val="000C30AB"/>
    <w:rsid w:val="000C7588"/>
    <w:rsid w:val="000D6871"/>
    <w:rsid w:val="000E58F2"/>
    <w:rsid w:val="000F0C4A"/>
    <w:rsid w:val="000F15ED"/>
    <w:rsid w:val="00104A5E"/>
    <w:rsid w:val="001808C6"/>
    <w:rsid w:val="00183383"/>
    <w:rsid w:val="00187A69"/>
    <w:rsid w:val="001D333C"/>
    <w:rsid w:val="001D4319"/>
    <w:rsid w:val="001E74F5"/>
    <w:rsid w:val="0020105F"/>
    <w:rsid w:val="00212C15"/>
    <w:rsid w:val="002305DB"/>
    <w:rsid w:val="002454A3"/>
    <w:rsid w:val="00251279"/>
    <w:rsid w:val="002602A8"/>
    <w:rsid w:val="0027702F"/>
    <w:rsid w:val="00296EFB"/>
    <w:rsid w:val="002B29C3"/>
    <w:rsid w:val="002F01DE"/>
    <w:rsid w:val="002F2A17"/>
    <w:rsid w:val="0031639B"/>
    <w:rsid w:val="00333CA3"/>
    <w:rsid w:val="00366BB5"/>
    <w:rsid w:val="00377BAA"/>
    <w:rsid w:val="004423D5"/>
    <w:rsid w:val="00455A8D"/>
    <w:rsid w:val="00460787"/>
    <w:rsid w:val="00474DFB"/>
    <w:rsid w:val="00475E07"/>
    <w:rsid w:val="004834CF"/>
    <w:rsid w:val="00486D03"/>
    <w:rsid w:val="004B5AE8"/>
    <w:rsid w:val="004C48B7"/>
    <w:rsid w:val="004C5513"/>
    <w:rsid w:val="004F66A5"/>
    <w:rsid w:val="00521579"/>
    <w:rsid w:val="00526A0F"/>
    <w:rsid w:val="0053024A"/>
    <w:rsid w:val="00534114"/>
    <w:rsid w:val="00556536"/>
    <w:rsid w:val="00574E42"/>
    <w:rsid w:val="005B281F"/>
    <w:rsid w:val="005E6332"/>
    <w:rsid w:val="005F23FB"/>
    <w:rsid w:val="005F644E"/>
    <w:rsid w:val="00615060"/>
    <w:rsid w:val="0063110D"/>
    <w:rsid w:val="00631B08"/>
    <w:rsid w:val="00657120"/>
    <w:rsid w:val="00674B81"/>
    <w:rsid w:val="00681CB5"/>
    <w:rsid w:val="00686C05"/>
    <w:rsid w:val="006C2ABA"/>
    <w:rsid w:val="00744DFA"/>
    <w:rsid w:val="00762837"/>
    <w:rsid w:val="00777B23"/>
    <w:rsid w:val="007F5DAE"/>
    <w:rsid w:val="00834D02"/>
    <w:rsid w:val="00841472"/>
    <w:rsid w:val="00870C4C"/>
    <w:rsid w:val="008A54F3"/>
    <w:rsid w:val="008B7258"/>
    <w:rsid w:val="008C449B"/>
    <w:rsid w:val="00904380"/>
    <w:rsid w:val="0090510D"/>
    <w:rsid w:val="00927A3A"/>
    <w:rsid w:val="00953311"/>
    <w:rsid w:val="0098243B"/>
    <w:rsid w:val="009B5C73"/>
    <w:rsid w:val="00A0008C"/>
    <w:rsid w:val="00A20C29"/>
    <w:rsid w:val="00A64ED7"/>
    <w:rsid w:val="00A71A06"/>
    <w:rsid w:val="00AB4733"/>
    <w:rsid w:val="00AC286E"/>
    <w:rsid w:val="00B02924"/>
    <w:rsid w:val="00B02E8C"/>
    <w:rsid w:val="00B07C9F"/>
    <w:rsid w:val="00B40514"/>
    <w:rsid w:val="00BC4DA1"/>
    <w:rsid w:val="00BD5281"/>
    <w:rsid w:val="00BE1F35"/>
    <w:rsid w:val="00BE357B"/>
    <w:rsid w:val="00BE560F"/>
    <w:rsid w:val="00C00C71"/>
    <w:rsid w:val="00C150A0"/>
    <w:rsid w:val="00C23377"/>
    <w:rsid w:val="00C40D70"/>
    <w:rsid w:val="00CA31E2"/>
    <w:rsid w:val="00CA7397"/>
    <w:rsid w:val="00D014BE"/>
    <w:rsid w:val="00D04C9B"/>
    <w:rsid w:val="00D11501"/>
    <w:rsid w:val="00D4376A"/>
    <w:rsid w:val="00D65710"/>
    <w:rsid w:val="00DA1AA6"/>
    <w:rsid w:val="00DB2871"/>
    <w:rsid w:val="00DD1804"/>
    <w:rsid w:val="00E35924"/>
    <w:rsid w:val="00E67A00"/>
    <w:rsid w:val="00E74572"/>
    <w:rsid w:val="00E85529"/>
    <w:rsid w:val="00EB01D2"/>
    <w:rsid w:val="00EC6508"/>
    <w:rsid w:val="00EE6BD0"/>
    <w:rsid w:val="00EF1B90"/>
    <w:rsid w:val="00F2458F"/>
    <w:rsid w:val="00F32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D2B77"/>
  <w15:docId w15:val="{B77F6681-2BC0-4B93-8070-3C3AA00C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010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366</Words>
  <Characters>2088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30</cp:revision>
  <dcterms:created xsi:type="dcterms:W3CDTF">2018-10-31T12:58:00Z</dcterms:created>
  <dcterms:modified xsi:type="dcterms:W3CDTF">2022-04-06T07:13:00Z</dcterms:modified>
</cp:coreProperties>
</file>