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02" w:type="dxa"/>
        <w:tblInd w:w="-453" w:type="dxa"/>
        <w:tblCellMar>
          <w:left w:w="68" w:type="dxa"/>
          <w:right w:w="68" w:type="dxa"/>
        </w:tblCellMar>
        <w:tblLook w:val="0480" w:firstRow="0" w:lastRow="0" w:firstColumn="1" w:lastColumn="0" w:noHBand="0" w:noVBand="1"/>
      </w:tblPr>
      <w:tblGrid>
        <w:gridCol w:w="10302"/>
      </w:tblGrid>
      <w:tr w:rsidR="00D4376A" w:rsidRPr="00C23377" w:rsidTr="00733728">
        <w:trPr>
          <w:trHeight w:val="1127"/>
        </w:trPr>
        <w:tc>
          <w:tcPr>
            <w:tcW w:w="10302" w:type="dxa"/>
            <w:shd w:val="clear" w:color="auto" w:fill="auto"/>
            <w:vAlign w:val="center"/>
          </w:tcPr>
          <w:p w:rsidR="00D4376A" w:rsidRPr="00234A8F" w:rsidRDefault="00526959" w:rsidP="00EE6BD0">
            <w:pPr>
              <w:pStyle w:val="Default"/>
              <w:jc w:val="center"/>
              <w:rPr>
                <w:b/>
                <w:sz w:val="32"/>
                <w:szCs w:val="32"/>
              </w:rPr>
            </w:pPr>
            <w:r w:rsidRPr="00234A8F">
              <w:rPr>
                <w:b/>
                <w:sz w:val="32"/>
                <w:szCs w:val="32"/>
              </w:rPr>
              <w:t>MUAYENE VE KABUL KOMİSYONU</w:t>
            </w:r>
          </w:p>
        </w:tc>
      </w:tr>
      <w:tr w:rsidR="00BE1F35" w:rsidRPr="004F66A5" w:rsidTr="00733728">
        <w:tc>
          <w:tcPr>
            <w:tcW w:w="10302" w:type="dxa"/>
            <w:shd w:val="clear" w:color="auto" w:fill="auto"/>
          </w:tcPr>
          <w:p w:rsidR="00C00C71" w:rsidRDefault="00C00C71" w:rsidP="00C00C71">
            <w:pPr>
              <w:pStyle w:val="ListeParagraf"/>
              <w:ind w:left="360"/>
              <w:rPr>
                <w:rFonts w:ascii="Times New Roman" w:hAnsi="Times New Roman" w:cs="Times New Roman"/>
                <w:i/>
                <w:color w:val="FF0000"/>
                <w:sz w:val="24"/>
                <w:szCs w:val="24"/>
              </w:rPr>
            </w:pPr>
          </w:p>
          <w:p w:rsidR="00C00C71" w:rsidRPr="00C00C71" w:rsidRDefault="00526959" w:rsidP="007B12A1">
            <w:pPr>
              <w:pStyle w:val="ListeParagraf"/>
              <w:ind w:left="360"/>
              <w:jc w:val="both"/>
              <w:rPr>
                <w:rFonts w:ascii="Times New Roman" w:hAnsi="Times New Roman" w:cs="Times New Roman"/>
                <w:i/>
                <w:sz w:val="24"/>
                <w:szCs w:val="24"/>
              </w:rPr>
            </w:pPr>
            <w:r w:rsidRPr="00526959">
              <w:rPr>
                <w:rFonts w:ascii="Times New Roman" w:hAnsi="Times New Roman" w:cs="Times New Roman"/>
                <w:i/>
                <w:color w:val="FF0000"/>
                <w:sz w:val="24"/>
                <w:szCs w:val="24"/>
              </w:rPr>
              <w:t xml:space="preserve">Muayene ve Kabul Komisyonunun görevi genel olarak; </w:t>
            </w:r>
            <w:r w:rsidR="006B3611">
              <w:rPr>
                <w:rFonts w:ascii="Times New Roman" w:hAnsi="Times New Roman" w:cs="Times New Roman"/>
                <w:i/>
                <w:sz w:val="24"/>
                <w:szCs w:val="24"/>
              </w:rPr>
              <w:t>4734 Sayılı Kamu İhale Kanunu kapsamındaki kamu kurum ve kuruluşların bu kanun hükümlerine göre yaptıkları ihaleler. Doğrudan Temin sonucunda idareye teslim edilen Mal ve Malzemeler için 4735 Sayılı Kamu Sözleşmeleri Kanunun 11 nci maddesi uyarınca kurulan muayene ve kabul komisyonları</w:t>
            </w:r>
            <w:r w:rsidRPr="00526959">
              <w:rPr>
                <w:rFonts w:ascii="Times New Roman" w:hAnsi="Times New Roman" w:cs="Times New Roman"/>
                <w:i/>
                <w:sz w:val="24"/>
                <w:szCs w:val="24"/>
              </w:rPr>
              <w:t xml:space="preserve"> onay gören ihale konusu gereksinim ve </w:t>
            </w:r>
            <w:r w:rsidR="006B3611">
              <w:rPr>
                <w:rFonts w:ascii="Times New Roman" w:hAnsi="Times New Roman" w:cs="Times New Roman"/>
                <w:i/>
                <w:sz w:val="24"/>
                <w:szCs w:val="24"/>
              </w:rPr>
              <w:t xml:space="preserve"> mal </w:t>
            </w:r>
            <w:r w:rsidRPr="00526959">
              <w:rPr>
                <w:rFonts w:ascii="Times New Roman" w:hAnsi="Times New Roman" w:cs="Times New Roman"/>
                <w:i/>
                <w:sz w:val="24"/>
                <w:szCs w:val="24"/>
              </w:rPr>
              <w:t xml:space="preserve">hizmet alımlarının geçici ve kesin kabullerini yapmak; idareye teslim edilen malın veya </w:t>
            </w:r>
            <w:r w:rsidR="006B3611">
              <w:rPr>
                <w:rFonts w:ascii="Times New Roman" w:hAnsi="Times New Roman" w:cs="Times New Roman"/>
                <w:i/>
                <w:sz w:val="24"/>
                <w:szCs w:val="24"/>
              </w:rPr>
              <w:t>yapılan işin belirtilen teknik şartnameye</w:t>
            </w:r>
            <w:r w:rsidRPr="00526959">
              <w:rPr>
                <w:rFonts w:ascii="Times New Roman" w:hAnsi="Times New Roman" w:cs="Times New Roman"/>
                <w:i/>
                <w:sz w:val="24"/>
                <w:szCs w:val="24"/>
              </w:rPr>
              <w:t xml:space="preserve"> uygun olup olmadığını incelemek ve Satın Alma Komisyonu tarafından satın alınan tüm malzemelerin standartlara ve ihtiyaçlara uygun olup olmadığını belirlemektir.</w:t>
            </w:r>
          </w:p>
        </w:tc>
      </w:tr>
      <w:tr w:rsidR="00C00C71" w:rsidRPr="004F66A5" w:rsidTr="00733728">
        <w:tc>
          <w:tcPr>
            <w:tcW w:w="10302" w:type="dxa"/>
            <w:shd w:val="clear" w:color="auto" w:fill="auto"/>
          </w:tcPr>
          <w:p w:rsidR="00526959" w:rsidRPr="00526959" w:rsidRDefault="00526959" w:rsidP="00526959">
            <w:pPr>
              <w:pStyle w:val="ListeParagraf"/>
              <w:numPr>
                <w:ilvl w:val="0"/>
                <w:numId w:val="26"/>
              </w:numPr>
              <w:rPr>
                <w:rFonts w:ascii="Times New Roman" w:hAnsi="Times New Roman" w:cs="Times New Roman"/>
                <w:sz w:val="24"/>
                <w:szCs w:val="24"/>
              </w:rPr>
            </w:pPr>
            <w:r w:rsidRPr="00526959">
              <w:rPr>
                <w:rFonts w:ascii="Times New Roman" w:hAnsi="Times New Roman" w:cs="Times New Roman"/>
                <w:sz w:val="24"/>
                <w:szCs w:val="24"/>
              </w:rPr>
              <w:t xml:space="preserve">Yönetmelikte belirtilen komisyonlarca belirlenen ve onay gören ihale konusu gereksinim ve hizmet alımlarının geçici ve kesin kabullerini yapmak. </w:t>
            </w:r>
          </w:p>
          <w:p w:rsidR="00526959" w:rsidRPr="00526959" w:rsidRDefault="00526959" w:rsidP="00526959">
            <w:pPr>
              <w:pStyle w:val="ListeParagraf"/>
              <w:numPr>
                <w:ilvl w:val="0"/>
                <w:numId w:val="26"/>
              </w:numPr>
              <w:rPr>
                <w:rFonts w:ascii="Times New Roman" w:hAnsi="Times New Roman" w:cs="Times New Roman"/>
                <w:sz w:val="24"/>
                <w:szCs w:val="24"/>
              </w:rPr>
            </w:pPr>
            <w:r w:rsidRPr="00526959">
              <w:rPr>
                <w:rFonts w:ascii="Times New Roman" w:hAnsi="Times New Roman" w:cs="Times New Roman"/>
                <w:sz w:val="24"/>
                <w:szCs w:val="24"/>
              </w:rPr>
              <w:t xml:space="preserve">Uygunluk içeren karar ve kabul tutanağını imzalamak. </w:t>
            </w:r>
          </w:p>
          <w:p w:rsidR="00526959" w:rsidRPr="00526959" w:rsidRDefault="00526959" w:rsidP="00526959">
            <w:pPr>
              <w:pStyle w:val="ListeParagraf"/>
              <w:numPr>
                <w:ilvl w:val="0"/>
                <w:numId w:val="26"/>
              </w:numPr>
              <w:rPr>
                <w:rFonts w:ascii="Times New Roman" w:hAnsi="Times New Roman" w:cs="Times New Roman"/>
                <w:sz w:val="24"/>
                <w:szCs w:val="24"/>
              </w:rPr>
            </w:pPr>
            <w:r w:rsidRPr="00526959">
              <w:rPr>
                <w:rFonts w:ascii="Times New Roman" w:hAnsi="Times New Roman" w:cs="Times New Roman"/>
                <w:sz w:val="24"/>
                <w:szCs w:val="24"/>
              </w:rPr>
              <w:t>Kabul edilmeyen mal veya hizmet</w:t>
            </w:r>
            <w:r w:rsidR="007B12A1">
              <w:rPr>
                <w:rFonts w:ascii="Times New Roman" w:hAnsi="Times New Roman" w:cs="Times New Roman"/>
                <w:sz w:val="24"/>
                <w:szCs w:val="24"/>
              </w:rPr>
              <w:t>i iade etmek veya düzelttirmek.</w:t>
            </w:r>
          </w:p>
          <w:p w:rsidR="00F906D2" w:rsidRDefault="00F906D2" w:rsidP="00F906D2">
            <w:pPr>
              <w:pStyle w:val="ListeParagraf"/>
              <w:numPr>
                <w:ilvl w:val="0"/>
                <w:numId w:val="26"/>
              </w:numPr>
              <w:rPr>
                <w:rFonts w:ascii="Times New Roman" w:hAnsi="Times New Roman" w:cs="Times New Roman"/>
                <w:sz w:val="24"/>
                <w:szCs w:val="24"/>
              </w:rPr>
            </w:pPr>
            <w:r>
              <w:rPr>
                <w:rFonts w:ascii="Times New Roman" w:hAnsi="Times New Roman" w:cs="Times New Roman"/>
                <w:sz w:val="24"/>
                <w:szCs w:val="24"/>
              </w:rPr>
              <w:t>Yüklenici tarafından idareye teslim edilen mal ve malzemenin veya yapılan işin ihale dokümanında (Teknik Şartnamede) belirtilen şartlara uygun olup olmadığını incele</w:t>
            </w:r>
            <w:r w:rsidR="005C2745">
              <w:rPr>
                <w:rFonts w:ascii="Times New Roman" w:hAnsi="Times New Roman" w:cs="Times New Roman"/>
                <w:sz w:val="24"/>
                <w:szCs w:val="24"/>
              </w:rPr>
              <w:t>mek.</w:t>
            </w:r>
          </w:p>
          <w:p w:rsidR="00526959" w:rsidRDefault="00F906D2" w:rsidP="00F906D2">
            <w:pPr>
              <w:pStyle w:val="ListeParagraf"/>
              <w:numPr>
                <w:ilvl w:val="0"/>
                <w:numId w:val="26"/>
              </w:numPr>
              <w:rPr>
                <w:rFonts w:ascii="Times New Roman" w:hAnsi="Times New Roman" w:cs="Times New Roman"/>
                <w:sz w:val="24"/>
                <w:szCs w:val="24"/>
              </w:rPr>
            </w:pPr>
            <w:r>
              <w:rPr>
                <w:rFonts w:ascii="Times New Roman" w:hAnsi="Times New Roman" w:cs="Times New Roman"/>
                <w:sz w:val="24"/>
                <w:szCs w:val="24"/>
              </w:rPr>
              <w:t>Muayene ve Kabul komisyonları her alınan mal/malzemenin muayene</w:t>
            </w:r>
            <w:r w:rsidR="00526959" w:rsidRPr="00F906D2">
              <w:rPr>
                <w:rFonts w:ascii="Times New Roman" w:hAnsi="Times New Roman" w:cs="Times New Roman"/>
                <w:sz w:val="24"/>
                <w:szCs w:val="24"/>
              </w:rPr>
              <w:t xml:space="preserve"> </w:t>
            </w:r>
            <w:r>
              <w:rPr>
                <w:rFonts w:ascii="Times New Roman" w:hAnsi="Times New Roman" w:cs="Times New Roman"/>
                <w:sz w:val="24"/>
                <w:szCs w:val="24"/>
              </w:rPr>
              <w:t>kabulünde hazır bulunmalıdırlar.</w:t>
            </w:r>
          </w:p>
          <w:p w:rsidR="00F906D2" w:rsidRPr="007B12A1" w:rsidRDefault="00F906D2" w:rsidP="007B12A1">
            <w:pPr>
              <w:pStyle w:val="ListeParagraf"/>
              <w:numPr>
                <w:ilvl w:val="0"/>
                <w:numId w:val="26"/>
              </w:numPr>
              <w:rPr>
                <w:rFonts w:ascii="Times New Roman" w:hAnsi="Times New Roman" w:cs="Times New Roman"/>
                <w:sz w:val="24"/>
                <w:szCs w:val="24"/>
              </w:rPr>
            </w:pPr>
            <w:r>
              <w:rPr>
                <w:rFonts w:ascii="Times New Roman" w:hAnsi="Times New Roman" w:cs="Times New Roman"/>
                <w:sz w:val="24"/>
                <w:szCs w:val="24"/>
              </w:rPr>
              <w:t>Kısa sürece bozulabilecek maddelerin muayenesine öncelik vermelidirler.</w:t>
            </w:r>
          </w:p>
          <w:p w:rsidR="00526959" w:rsidRPr="00526959" w:rsidRDefault="00526959" w:rsidP="00526959">
            <w:pPr>
              <w:pStyle w:val="ListeParagraf"/>
              <w:numPr>
                <w:ilvl w:val="0"/>
                <w:numId w:val="26"/>
              </w:numPr>
              <w:rPr>
                <w:rFonts w:ascii="Times New Roman" w:hAnsi="Times New Roman" w:cs="Times New Roman"/>
                <w:sz w:val="24"/>
                <w:szCs w:val="24"/>
              </w:rPr>
            </w:pPr>
            <w:r w:rsidRPr="00526959">
              <w:rPr>
                <w:rFonts w:ascii="Times New Roman" w:hAnsi="Times New Roman" w:cs="Times New Roman"/>
                <w:sz w:val="24"/>
                <w:szCs w:val="24"/>
              </w:rPr>
              <w:t xml:space="preserve">Muayene ve Kabul Komisyonu </w:t>
            </w:r>
            <w:r w:rsidR="005C2745">
              <w:rPr>
                <w:rFonts w:ascii="Times New Roman" w:hAnsi="Times New Roman" w:cs="Times New Roman"/>
                <w:sz w:val="24"/>
                <w:szCs w:val="24"/>
              </w:rPr>
              <w:t>Daire Başkanına</w:t>
            </w:r>
            <w:r w:rsidRPr="00526959">
              <w:rPr>
                <w:rFonts w:ascii="Times New Roman" w:hAnsi="Times New Roman" w:cs="Times New Roman"/>
                <w:sz w:val="24"/>
                <w:szCs w:val="24"/>
              </w:rPr>
              <w:t xml:space="preserve"> karşı sorumludur.  </w:t>
            </w:r>
          </w:p>
          <w:p w:rsidR="00C00C71" w:rsidRPr="00BE1F35" w:rsidRDefault="00C00C71" w:rsidP="00526959">
            <w:pPr>
              <w:pStyle w:val="ListeParagraf"/>
              <w:ind w:left="927"/>
              <w:jc w:val="both"/>
              <w:rPr>
                <w:rFonts w:ascii="Times New Roman" w:hAnsi="Times New Roman" w:cs="Times New Roman"/>
                <w:sz w:val="24"/>
                <w:szCs w:val="24"/>
              </w:rPr>
            </w:pP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48" w:rsidRDefault="00F54548" w:rsidP="00D4376A">
      <w:pPr>
        <w:spacing w:after="0" w:line="240" w:lineRule="auto"/>
      </w:pPr>
      <w:r>
        <w:separator/>
      </w:r>
    </w:p>
  </w:endnote>
  <w:endnote w:type="continuationSeparator" w:id="0">
    <w:p w:rsidR="00F54548" w:rsidRDefault="00F5454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16" w:rsidRDefault="0064381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9A6725"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82335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823357"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82335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82335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823357"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82335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16" w:rsidRDefault="006438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48" w:rsidRDefault="00F54548" w:rsidP="00D4376A">
      <w:pPr>
        <w:spacing w:after="0" w:line="240" w:lineRule="auto"/>
      </w:pPr>
      <w:r>
        <w:separator/>
      </w:r>
    </w:p>
  </w:footnote>
  <w:footnote w:type="continuationSeparator" w:id="0">
    <w:p w:rsidR="00F54548" w:rsidRDefault="00F54548"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16" w:rsidRDefault="0064381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9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898"/>
      <w:gridCol w:w="1559"/>
      <w:gridCol w:w="1417"/>
    </w:tblGrid>
    <w:tr w:rsidR="00D4376A" w:rsidTr="00B63927">
      <w:trPr>
        <w:cantSplit/>
        <w:trHeight w:val="300"/>
      </w:trPr>
      <w:tc>
        <w:tcPr>
          <w:tcW w:w="692" w:type="pct"/>
          <w:vMerge w:val="restart"/>
          <w:vAlign w:val="center"/>
          <w:hideMark/>
        </w:tcPr>
        <w:p w:rsidR="00D4376A" w:rsidRDefault="009A6725" w:rsidP="00D4376A">
          <w:pPr>
            <w:pStyle w:val="stBilgi"/>
            <w:jc w:val="center"/>
            <w:rPr>
              <w:rFonts w:ascii="Century Gothic" w:hAnsi="Century Gothic"/>
            </w:rPr>
          </w:pPr>
          <w:r>
            <w:rPr>
              <w:noProof/>
              <w:lang w:eastAsia="tr-TR"/>
            </w:rPr>
            <w:drawing>
              <wp:inline distT="0" distB="0" distL="0" distR="0" wp14:anchorId="3638B48C" wp14:editId="38732811">
                <wp:extent cx="747395" cy="730885"/>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730885"/>
                        </a:xfrm>
                        <a:prstGeom prst="rect">
                          <a:avLst/>
                        </a:prstGeom>
                        <a:noFill/>
                        <a:ln>
                          <a:noFill/>
                        </a:ln>
                      </pic:spPr>
                    </pic:pic>
                  </a:graphicData>
                </a:graphic>
              </wp:inline>
            </w:drawing>
          </w:r>
        </w:p>
      </w:tc>
      <w:tc>
        <w:tcPr>
          <w:tcW w:w="286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B63927" w:rsidRDefault="00B63927" w:rsidP="00B63927">
          <w:pPr>
            <w:pStyle w:val="stBilgi"/>
            <w:rPr>
              <w:rFonts w:ascii="Times New Roman" w:hAnsi="Times New Roman" w:cs="Times New Roman"/>
              <w:b/>
              <w:sz w:val="32"/>
              <w:szCs w:val="32"/>
            </w:rPr>
          </w:pPr>
          <w:r>
            <w:rPr>
              <w:rFonts w:ascii="Times New Roman" w:hAnsi="Times New Roman" w:cs="Times New Roman"/>
              <w:b/>
              <w:sz w:val="32"/>
              <w:szCs w:val="32"/>
            </w:rPr>
            <w:t xml:space="preserve">KÜTÜPHANE VE DOKÜMANTASYON </w:t>
          </w:r>
        </w:p>
        <w:p w:rsidR="00D4376A" w:rsidRPr="00021CEA" w:rsidRDefault="00B63927" w:rsidP="00101CB1">
          <w:pPr>
            <w:pStyle w:val="stBilgi"/>
            <w:jc w:val="center"/>
            <w:rPr>
              <w:rFonts w:ascii="Times New Roman" w:hAnsi="Times New Roman" w:cs="Times New Roman"/>
              <w:b/>
              <w:sz w:val="28"/>
              <w:szCs w:val="28"/>
            </w:rPr>
          </w:pPr>
          <w:r>
            <w:rPr>
              <w:rFonts w:ascii="Times New Roman" w:hAnsi="Times New Roman" w:cs="Times New Roman"/>
              <w:b/>
              <w:sz w:val="32"/>
              <w:szCs w:val="32"/>
            </w:rPr>
            <w:t>DAİRE BAŞKANLIĞI</w:t>
          </w: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8" w:type="pct"/>
          <w:vAlign w:val="center"/>
          <w:hideMark/>
        </w:tcPr>
        <w:p w:rsidR="00D4376A" w:rsidRPr="002F2A17" w:rsidRDefault="00B63927" w:rsidP="00B63927">
          <w:pPr>
            <w:pStyle w:val="stBilgi"/>
            <w:rPr>
              <w:rFonts w:ascii="Times New Roman" w:hAnsi="Times New Roman" w:cs="Times New Roman"/>
              <w:b/>
              <w:bCs/>
              <w:sz w:val="18"/>
              <w:szCs w:val="18"/>
            </w:rPr>
          </w:pPr>
          <w:r>
            <w:rPr>
              <w:rFonts w:ascii="Times New Roman" w:hAnsi="Times New Roman" w:cs="Times New Roman"/>
              <w:b/>
              <w:bCs/>
              <w:sz w:val="18"/>
              <w:szCs w:val="18"/>
            </w:rPr>
            <w:t>KD</w:t>
          </w:r>
          <w:r w:rsidR="00A64ED7">
            <w:rPr>
              <w:rFonts w:ascii="Times New Roman" w:hAnsi="Times New Roman" w:cs="Times New Roman"/>
              <w:b/>
              <w:bCs/>
              <w:sz w:val="18"/>
              <w:szCs w:val="18"/>
            </w:rPr>
            <w:t>D</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42</w:t>
          </w:r>
        </w:p>
      </w:tc>
    </w:tr>
    <w:tr w:rsidR="00D4376A" w:rsidTr="00B63927">
      <w:trPr>
        <w:cantSplit/>
        <w:trHeight w:val="300"/>
      </w:trPr>
      <w:tc>
        <w:tcPr>
          <w:tcW w:w="692" w:type="pct"/>
          <w:vMerge/>
          <w:vAlign w:val="center"/>
          <w:hideMark/>
        </w:tcPr>
        <w:p w:rsidR="00D4376A" w:rsidRDefault="00D4376A" w:rsidP="00D4376A">
          <w:pPr>
            <w:rPr>
              <w:rFonts w:ascii="Century Gothic" w:hAnsi="Century Gothic"/>
            </w:rPr>
          </w:pPr>
        </w:p>
      </w:tc>
      <w:tc>
        <w:tcPr>
          <w:tcW w:w="2863"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8" w:type="pct"/>
          <w:vAlign w:val="center"/>
          <w:hideMark/>
        </w:tcPr>
        <w:p w:rsidR="00D4376A" w:rsidRPr="002F2A17" w:rsidRDefault="00B63927"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w:t>
          </w:r>
          <w:r w:rsidR="006B3611">
            <w:rPr>
              <w:rFonts w:ascii="Times New Roman" w:hAnsi="Times New Roman" w:cs="Times New Roman"/>
              <w:b/>
              <w:bCs/>
              <w:sz w:val="18"/>
              <w:szCs w:val="18"/>
            </w:rPr>
            <w:t>2018</w:t>
          </w:r>
        </w:p>
      </w:tc>
    </w:tr>
    <w:tr w:rsidR="00D4376A" w:rsidTr="00B63927">
      <w:trPr>
        <w:cantSplit/>
        <w:trHeight w:val="300"/>
      </w:trPr>
      <w:tc>
        <w:tcPr>
          <w:tcW w:w="692" w:type="pct"/>
          <w:vMerge/>
          <w:vAlign w:val="center"/>
          <w:hideMark/>
        </w:tcPr>
        <w:p w:rsidR="00D4376A" w:rsidRDefault="00D4376A" w:rsidP="00D4376A">
          <w:pPr>
            <w:rPr>
              <w:rFonts w:ascii="Century Gothic" w:hAnsi="Century Gothic"/>
            </w:rPr>
          </w:pPr>
        </w:p>
      </w:tc>
      <w:tc>
        <w:tcPr>
          <w:tcW w:w="2863"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8" w:type="pct"/>
          <w:vAlign w:val="center"/>
        </w:tcPr>
        <w:p w:rsidR="00D4376A" w:rsidRPr="002F2A17" w:rsidRDefault="009A6725"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B63927">
      <w:trPr>
        <w:cantSplit/>
        <w:trHeight w:val="300"/>
      </w:trPr>
      <w:tc>
        <w:tcPr>
          <w:tcW w:w="692" w:type="pct"/>
          <w:vMerge/>
          <w:vAlign w:val="center"/>
          <w:hideMark/>
        </w:tcPr>
        <w:p w:rsidR="00D4376A" w:rsidRDefault="00D4376A" w:rsidP="00D4376A">
          <w:pPr>
            <w:rPr>
              <w:rFonts w:ascii="Century Gothic" w:hAnsi="Century Gothic"/>
            </w:rPr>
          </w:pPr>
        </w:p>
      </w:tc>
      <w:tc>
        <w:tcPr>
          <w:tcW w:w="2863"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16" w:rsidRDefault="0064381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D234212"/>
    <w:multiLevelType w:val="hybridMultilevel"/>
    <w:tmpl w:val="DED64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457CDF"/>
    <w:multiLevelType w:val="hybridMultilevel"/>
    <w:tmpl w:val="B0BC9D3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75D2533"/>
    <w:multiLevelType w:val="hybridMultilevel"/>
    <w:tmpl w:val="7A6E3D42"/>
    <w:lvl w:ilvl="0" w:tplc="35E0509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D16338"/>
    <w:multiLevelType w:val="hybridMultilevel"/>
    <w:tmpl w:val="3E547A5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8" w15:restartNumberingAfterBreak="0">
    <w:nsid w:val="46D76755"/>
    <w:multiLevelType w:val="hybridMultilevel"/>
    <w:tmpl w:val="E5E4E20A"/>
    <w:lvl w:ilvl="0" w:tplc="B0C4DC2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24F05"/>
    <w:multiLevelType w:val="hybridMultilevel"/>
    <w:tmpl w:val="6B7838EC"/>
    <w:lvl w:ilvl="0" w:tplc="7C98358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3"/>
  </w:num>
  <w:num w:numId="3">
    <w:abstractNumId w:val="19"/>
  </w:num>
  <w:num w:numId="4">
    <w:abstractNumId w:val="24"/>
  </w:num>
  <w:num w:numId="5">
    <w:abstractNumId w:val="4"/>
  </w:num>
  <w:num w:numId="6">
    <w:abstractNumId w:val="21"/>
  </w:num>
  <w:num w:numId="7">
    <w:abstractNumId w:val="7"/>
  </w:num>
  <w:num w:numId="8">
    <w:abstractNumId w:val="0"/>
  </w:num>
  <w:num w:numId="9">
    <w:abstractNumId w:val="16"/>
  </w:num>
  <w:num w:numId="10">
    <w:abstractNumId w:val="12"/>
  </w:num>
  <w:num w:numId="11">
    <w:abstractNumId w:val="26"/>
  </w:num>
  <w:num w:numId="12">
    <w:abstractNumId w:val="10"/>
  </w:num>
  <w:num w:numId="13">
    <w:abstractNumId w:val="2"/>
  </w:num>
  <w:num w:numId="14">
    <w:abstractNumId w:val="1"/>
  </w:num>
  <w:num w:numId="15">
    <w:abstractNumId w:val="22"/>
  </w:num>
  <w:num w:numId="16">
    <w:abstractNumId w:val="11"/>
  </w:num>
  <w:num w:numId="17">
    <w:abstractNumId w:val="3"/>
  </w:num>
  <w:num w:numId="18">
    <w:abstractNumId w:val="8"/>
  </w:num>
  <w:num w:numId="19">
    <w:abstractNumId w:val="6"/>
  </w:num>
  <w:num w:numId="20">
    <w:abstractNumId w:val="5"/>
  </w:num>
  <w:num w:numId="21">
    <w:abstractNumId w:val="25"/>
  </w:num>
  <w:num w:numId="22">
    <w:abstractNumId w:val="13"/>
  </w:num>
  <w:num w:numId="23">
    <w:abstractNumId w:val="18"/>
  </w:num>
  <w:num w:numId="24">
    <w:abstractNumId w:val="17"/>
  </w:num>
  <w:num w:numId="25">
    <w:abstractNumId w:val="14"/>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54B87"/>
    <w:rsid w:val="00061F18"/>
    <w:rsid w:val="000628D2"/>
    <w:rsid w:val="000C30AB"/>
    <w:rsid w:val="000D6871"/>
    <w:rsid w:val="000E58F2"/>
    <w:rsid w:val="000F0C4A"/>
    <w:rsid w:val="00101CB1"/>
    <w:rsid w:val="001808C6"/>
    <w:rsid w:val="00183383"/>
    <w:rsid w:val="00187A69"/>
    <w:rsid w:val="001E74F5"/>
    <w:rsid w:val="002305DB"/>
    <w:rsid w:val="00234A8F"/>
    <w:rsid w:val="002454A3"/>
    <w:rsid w:val="002F01DE"/>
    <w:rsid w:val="002F2A17"/>
    <w:rsid w:val="00333CA3"/>
    <w:rsid w:val="00366BB5"/>
    <w:rsid w:val="00377BAA"/>
    <w:rsid w:val="0040453F"/>
    <w:rsid w:val="004423D5"/>
    <w:rsid w:val="00455A8D"/>
    <w:rsid w:val="00460787"/>
    <w:rsid w:val="00474DFB"/>
    <w:rsid w:val="00475E07"/>
    <w:rsid w:val="004B5AE8"/>
    <w:rsid w:val="004C48B7"/>
    <w:rsid w:val="004C5513"/>
    <w:rsid w:val="004F66A5"/>
    <w:rsid w:val="00526959"/>
    <w:rsid w:val="00526A0F"/>
    <w:rsid w:val="00556536"/>
    <w:rsid w:val="005767A3"/>
    <w:rsid w:val="005C2745"/>
    <w:rsid w:val="005E6332"/>
    <w:rsid w:val="005F644E"/>
    <w:rsid w:val="00631B08"/>
    <w:rsid w:val="00643816"/>
    <w:rsid w:val="00674B81"/>
    <w:rsid w:val="00686C05"/>
    <w:rsid w:val="006B3611"/>
    <w:rsid w:val="006D1FF9"/>
    <w:rsid w:val="00733728"/>
    <w:rsid w:val="00746C7F"/>
    <w:rsid w:val="00762837"/>
    <w:rsid w:val="007B12A1"/>
    <w:rsid w:val="00823357"/>
    <w:rsid w:val="00834D02"/>
    <w:rsid w:val="00841472"/>
    <w:rsid w:val="00855714"/>
    <w:rsid w:val="00864CFD"/>
    <w:rsid w:val="008A54F3"/>
    <w:rsid w:val="008C449B"/>
    <w:rsid w:val="008D60E2"/>
    <w:rsid w:val="00927A3A"/>
    <w:rsid w:val="00953311"/>
    <w:rsid w:val="0098243B"/>
    <w:rsid w:val="009A6725"/>
    <w:rsid w:val="00A0008C"/>
    <w:rsid w:val="00A2479A"/>
    <w:rsid w:val="00A64ED7"/>
    <w:rsid w:val="00A71A06"/>
    <w:rsid w:val="00A746D3"/>
    <w:rsid w:val="00B02924"/>
    <w:rsid w:val="00B07C9F"/>
    <w:rsid w:val="00B40514"/>
    <w:rsid w:val="00B63927"/>
    <w:rsid w:val="00BC4DA1"/>
    <w:rsid w:val="00BD5281"/>
    <w:rsid w:val="00BE1F35"/>
    <w:rsid w:val="00BE357B"/>
    <w:rsid w:val="00BE560F"/>
    <w:rsid w:val="00C00C71"/>
    <w:rsid w:val="00C23377"/>
    <w:rsid w:val="00C5169B"/>
    <w:rsid w:val="00CA7397"/>
    <w:rsid w:val="00D04C9B"/>
    <w:rsid w:val="00D11501"/>
    <w:rsid w:val="00D4376A"/>
    <w:rsid w:val="00E35924"/>
    <w:rsid w:val="00E46B80"/>
    <w:rsid w:val="00E67A00"/>
    <w:rsid w:val="00EE6BD0"/>
    <w:rsid w:val="00EE796D"/>
    <w:rsid w:val="00EF1B90"/>
    <w:rsid w:val="00F2458F"/>
    <w:rsid w:val="00F54548"/>
    <w:rsid w:val="00F906D2"/>
    <w:rsid w:val="00FE3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A6E17D"/>
  <w15:docId w15:val="{F57E96E9-AA3C-4C09-AFF6-49ECBE68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B36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18</cp:revision>
  <dcterms:created xsi:type="dcterms:W3CDTF">2018-10-31T13:00:00Z</dcterms:created>
  <dcterms:modified xsi:type="dcterms:W3CDTF">2022-04-06T07:08:00Z</dcterms:modified>
</cp:coreProperties>
</file>