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59" w:rsidRPr="00291EA5" w:rsidRDefault="00F83459" w:rsidP="00F8345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91EA5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-422447</wp:posOffset>
            </wp:positionH>
            <wp:positionV relativeFrom="paragraph">
              <wp:posOffset>-611471</wp:posOffset>
            </wp:positionV>
            <wp:extent cx="1062681" cy="1043075"/>
            <wp:effectExtent l="0" t="0" r="0" b="0"/>
            <wp:wrapNone/>
            <wp:docPr id="2" name="Resim 2" descr="revize edilen üniversite logosu hakkı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vize edilen üniversite logosu hakkın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681" cy="10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EA5">
        <w:rPr>
          <w:rFonts w:ascii="Times New Roman" w:hAnsi="Times New Roman" w:cs="Times New Roman"/>
          <w:b/>
        </w:rPr>
        <w:t>Dicle Üniversitesi Diyarbakır Tarım Meslek Yüksekokulu</w:t>
      </w:r>
    </w:p>
    <w:p w:rsidR="00B502B0" w:rsidRPr="00291EA5" w:rsidRDefault="00610C62" w:rsidP="00F83459">
      <w:pPr>
        <w:jc w:val="center"/>
        <w:rPr>
          <w:rFonts w:ascii="Times New Roman" w:hAnsi="Times New Roman" w:cs="Times New Roman"/>
          <w:b/>
        </w:rPr>
      </w:pPr>
      <w:r w:rsidRPr="00291EA5">
        <w:rPr>
          <w:rFonts w:ascii="Times New Roman" w:hAnsi="Times New Roman" w:cs="Times New Roman"/>
          <w:b/>
        </w:rPr>
        <w:t>Öğrenci</w:t>
      </w:r>
      <w:r w:rsidR="00820974" w:rsidRPr="00291EA5">
        <w:rPr>
          <w:rFonts w:ascii="Times New Roman" w:hAnsi="Times New Roman" w:cs="Times New Roman"/>
          <w:b/>
        </w:rPr>
        <w:t xml:space="preserve"> Memnuniyet Anketi</w:t>
      </w:r>
      <w:r w:rsidR="00F83459" w:rsidRPr="00291EA5">
        <w:rPr>
          <w:rFonts w:ascii="Times New Roman" w:hAnsi="Times New Roman" w:cs="Times New Roman"/>
          <w:b/>
        </w:rPr>
        <w:t xml:space="preserve"> </w:t>
      </w:r>
      <w:r w:rsidR="00406C2F" w:rsidRPr="00291EA5">
        <w:rPr>
          <w:rFonts w:ascii="Times New Roman" w:hAnsi="Times New Roman" w:cs="Times New Roman"/>
          <w:b/>
        </w:rPr>
        <w:t>–</w:t>
      </w:r>
      <w:r w:rsidR="00F83459" w:rsidRPr="00291EA5">
        <w:rPr>
          <w:rFonts w:ascii="Times New Roman" w:hAnsi="Times New Roman" w:cs="Times New Roman"/>
          <w:b/>
        </w:rPr>
        <w:t xml:space="preserve"> 202</w:t>
      </w:r>
      <w:r w:rsidR="001B625D">
        <w:rPr>
          <w:rFonts w:ascii="Times New Roman" w:hAnsi="Times New Roman" w:cs="Times New Roman"/>
          <w:b/>
        </w:rPr>
        <w:t>5</w:t>
      </w:r>
      <w:r w:rsidR="00A51433">
        <w:rPr>
          <w:rFonts w:ascii="Times New Roman" w:hAnsi="Times New Roman" w:cs="Times New Roman"/>
          <w:b/>
        </w:rPr>
        <w:t xml:space="preserve"> </w:t>
      </w:r>
    </w:p>
    <w:p w:rsidR="00406C2F" w:rsidRPr="00291EA5" w:rsidRDefault="00406C2F" w:rsidP="00F83459">
      <w:pPr>
        <w:jc w:val="center"/>
        <w:rPr>
          <w:rFonts w:ascii="Times New Roman" w:hAnsi="Times New Roman" w:cs="Times New Roman"/>
          <w:b/>
        </w:rPr>
      </w:pPr>
    </w:p>
    <w:p w:rsidR="00406C2F" w:rsidRDefault="00CE7A2B" w:rsidP="00406C2F">
      <w:pPr>
        <w:ind w:firstLine="708"/>
        <w:jc w:val="both"/>
        <w:rPr>
          <w:rFonts w:ascii="Times New Roman" w:hAnsi="Times New Roman" w:cs="Times New Roman"/>
        </w:rPr>
      </w:pPr>
      <w:r w:rsidRPr="00291EA5">
        <w:rPr>
          <w:rFonts w:ascii="Times New Roman" w:hAnsi="Times New Roman" w:cs="Times New Roman"/>
        </w:rPr>
        <w:t>202</w:t>
      </w:r>
      <w:r w:rsidR="001B625D">
        <w:rPr>
          <w:rFonts w:ascii="Times New Roman" w:hAnsi="Times New Roman" w:cs="Times New Roman"/>
        </w:rPr>
        <w:t>5</w:t>
      </w:r>
      <w:r w:rsidRPr="00291EA5">
        <w:rPr>
          <w:rFonts w:ascii="Times New Roman" w:hAnsi="Times New Roman" w:cs="Times New Roman"/>
        </w:rPr>
        <w:t xml:space="preserve"> yılında </w:t>
      </w:r>
      <w:proofErr w:type="spellStart"/>
      <w:r w:rsidRPr="00291EA5">
        <w:rPr>
          <w:rFonts w:ascii="Times New Roman" w:hAnsi="Times New Roman" w:cs="Times New Roman"/>
        </w:rPr>
        <w:t>Proliz</w:t>
      </w:r>
      <w:proofErr w:type="spellEnd"/>
      <w:r w:rsidRPr="00291EA5">
        <w:rPr>
          <w:rFonts w:ascii="Times New Roman" w:hAnsi="Times New Roman" w:cs="Times New Roman"/>
        </w:rPr>
        <w:t xml:space="preserve"> Öğrenci Bilgi Sistemi üzerinden öğrenci Memnuniyet anketi uygulanmıştır. Toplamda 16 sorudan soruda oluşan ankette, her soru için 5 ayrı cevap seçeneği bulunmaktadır. Anketi cevaplayan kişilerin bu cevap şıklarından herhangi birini işaretlemesi zorunlu kılınmıştır. Bu sayede anketi cevaplayanların herhangi bir soruda boş cevap vermesi engellenmiştir. </w:t>
      </w:r>
      <w:proofErr w:type="spellStart"/>
      <w:r w:rsidRPr="00291EA5">
        <w:rPr>
          <w:rFonts w:ascii="Times New Roman" w:hAnsi="Times New Roman" w:cs="Times New Roman"/>
        </w:rPr>
        <w:t>Proliz</w:t>
      </w:r>
      <w:proofErr w:type="spellEnd"/>
      <w:r w:rsidRPr="00291EA5">
        <w:rPr>
          <w:rFonts w:ascii="Times New Roman" w:hAnsi="Times New Roman" w:cs="Times New Roman"/>
        </w:rPr>
        <w:t xml:space="preserve"> Yazılım Öğrenci Bilgi Sistemi kimlik doğrulaması ile erişilecek şekilde düzenlenen ankette bir kişinin birden çok anket doldurması engellenmiştir. Ankete t</w:t>
      </w:r>
      <w:r w:rsidR="00C26570" w:rsidRPr="00291EA5">
        <w:rPr>
          <w:rFonts w:ascii="Times New Roman" w:hAnsi="Times New Roman" w:cs="Times New Roman"/>
        </w:rPr>
        <w:t xml:space="preserve">oplamda </w:t>
      </w:r>
      <w:r w:rsidR="001B625D">
        <w:rPr>
          <w:rFonts w:ascii="Times New Roman" w:hAnsi="Times New Roman" w:cs="Times New Roman"/>
        </w:rPr>
        <w:t>322</w:t>
      </w:r>
      <w:r w:rsidR="0042661B">
        <w:rPr>
          <w:rFonts w:ascii="Times New Roman" w:hAnsi="Times New Roman" w:cs="Times New Roman"/>
        </w:rPr>
        <w:t xml:space="preserve"> </w:t>
      </w:r>
      <w:r w:rsidR="00C26570" w:rsidRPr="00291EA5">
        <w:rPr>
          <w:rFonts w:ascii="Times New Roman" w:hAnsi="Times New Roman" w:cs="Times New Roman"/>
        </w:rPr>
        <w:t>öğrenci katılmıştır</w:t>
      </w:r>
      <w:r w:rsidRPr="00291EA5">
        <w:rPr>
          <w:rFonts w:ascii="Times New Roman" w:hAnsi="Times New Roman" w:cs="Times New Roman"/>
        </w:rPr>
        <w:t xml:space="preserve"> </w:t>
      </w:r>
      <w:r w:rsidR="00406C2F" w:rsidRPr="00291EA5">
        <w:rPr>
          <w:rFonts w:ascii="Times New Roman" w:hAnsi="Times New Roman" w:cs="Times New Roman"/>
        </w:rPr>
        <w:t>(Çizelge 1).</w:t>
      </w:r>
    </w:p>
    <w:p w:rsidR="00726D57" w:rsidRDefault="00726D57" w:rsidP="00406C2F">
      <w:pPr>
        <w:ind w:firstLine="708"/>
        <w:jc w:val="both"/>
        <w:rPr>
          <w:rFonts w:ascii="Times New Roman" w:hAnsi="Times New Roman" w:cs="Times New Roman"/>
        </w:rPr>
      </w:pPr>
    </w:p>
    <w:p w:rsidR="00726D57" w:rsidRDefault="00726D57" w:rsidP="00406C2F">
      <w:pPr>
        <w:ind w:firstLine="708"/>
        <w:jc w:val="both"/>
        <w:rPr>
          <w:rFonts w:ascii="Times New Roman" w:hAnsi="Times New Roman" w:cs="Times New Roman"/>
        </w:rPr>
      </w:pPr>
      <w:r w:rsidRPr="00291EA5">
        <w:rPr>
          <w:rFonts w:ascii="Times New Roman" w:hAnsi="Times New Roman" w:cs="Times New Roman"/>
          <w:b/>
          <w:sz w:val="20"/>
          <w:szCs w:val="20"/>
        </w:rPr>
        <w:t>Çizelge 1</w:t>
      </w:r>
      <w:r w:rsidRPr="00291EA5">
        <w:rPr>
          <w:rFonts w:ascii="Times New Roman" w:hAnsi="Times New Roman" w:cs="Times New Roman"/>
          <w:sz w:val="20"/>
          <w:szCs w:val="20"/>
        </w:rPr>
        <w:t xml:space="preserve">. Öğrenci memnuniyet anketi soru </w:t>
      </w:r>
      <w:proofErr w:type="gramStart"/>
      <w:r w:rsidRPr="00291EA5">
        <w:rPr>
          <w:rFonts w:ascii="Times New Roman" w:hAnsi="Times New Roman" w:cs="Times New Roman"/>
          <w:sz w:val="20"/>
          <w:szCs w:val="20"/>
        </w:rPr>
        <w:t>bazlı</w:t>
      </w:r>
      <w:proofErr w:type="gramEnd"/>
      <w:r w:rsidRPr="00291EA5">
        <w:rPr>
          <w:rFonts w:ascii="Times New Roman" w:hAnsi="Times New Roman" w:cs="Times New Roman"/>
          <w:sz w:val="20"/>
          <w:szCs w:val="20"/>
        </w:rPr>
        <w:t xml:space="preserve"> cevap yüzdeleri dağılım çizelgesi.</w:t>
      </w:r>
    </w:p>
    <w:tbl>
      <w:tblPr>
        <w:tblW w:w="957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5002"/>
        <w:gridCol w:w="851"/>
        <w:gridCol w:w="708"/>
        <w:gridCol w:w="709"/>
        <w:gridCol w:w="567"/>
        <w:gridCol w:w="1207"/>
      </w:tblGrid>
      <w:tr w:rsidR="00726D57" w:rsidRPr="00710049" w:rsidTr="00726D57">
        <w:trPr>
          <w:cantSplit/>
          <w:trHeight w:val="11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6D57" w:rsidRPr="00291EA5" w:rsidRDefault="00726D57" w:rsidP="00E26AF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91EA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Soru No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26D57" w:rsidRPr="00291EA5" w:rsidRDefault="00726D57" w:rsidP="00E2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91EA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Sorular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hideMark/>
          </w:tcPr>
          <w:p w:rsidR="00726D57" w:rsidRPr="00291EA5" w:rsidRDefault="001B625D" w:rsidP="00E26AF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Hiç memnun değilim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hideMark/>
          </w:tcPr>
          <w:p w:rsidR="00726D57" w:rsidRPr="00291EA5" w:rsidRDefault="001B625D" w:rsidP="00E26AF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Memnun değilim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hideMark/>
          </w:tcPr>
          <w:p w:rsidR="00726D57" w:rsidRPr="00291EA5" w:rsidRDefault="00726D57" w:rsidP="00E26AF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EA5">
              <w:rPr>
                <w:rFonts w:ascii="Times New Roman" w:hAnsi="Times New Roman" w:cs="Times New Roman"/>
                <w:sz w:val="20"/>
                <w:szCs w:val="20"/>
              </w:rPr>
              <w:t>Zaman zaman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hideMark/>
          </w:tcPr>
          <w:p w:rsidR="00726D57" w:rsidRPr="00291EA5" w:rsidRDefault="001B625D" w:rsidP="00E26AF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Memnunum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hideMark/>
          </w:tcPr>
          <w:p w:rsidR="00726D57" w:rsidRPr="00291EA5" w:rsidRDefault="001B625D" w:rsidP="00E26AF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Oldukça memnunum</w:t>
            </w:r>
          </w:p>
        </w:tc>
      </w:tr>
      <w:tr w:rsidR="001B625D" w:rsidRPr="00710049" w:rsidTr="00726D57">
        <w:trPr>
          <w:trHeight w:val="464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Öğretim elemanları alanındaki yenilikleri ve gelişmeleri paylaşmaktadır.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D3A7"/>
            <w:noWrap/>
            <w:hideMark/>
          </w:tcPr>
          <w:p w:rsidR="001B625D" w:rsidRPr="00E4722A" w:rsidRDefault="001B625D" w:rsidP="001A561A">
            <w:r w:rsidRPr="00E4722A">
              <w:t>31%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1A3"/>
            <w:noWrap/>
            <w:hideMark/>
          </w:tcPr>
          <w:p w:rsidR="001B625D" w:rsidRPr="00E4722A" w:rsidRDefault="001B625D" w:rsidP="001A561A">
            <w:r w:rsidRPr="00E4722A">
              <w:t>23%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C07E"/>
            <w:noWrap/>
            <w:hideMark/>
          </w:tcPr>
          <w:p w:rsidR="001B625D" w:rsidRPr="00E4722A" w:rsidRDefault="001B625D" w:rsidP="001A561A">
            <w:r w:rsidRPr="00E4722A">
              <w:t>32%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5F0"/>
            <w:noWrap/>
            <w:hideMark/>
          </w:tcPr>
          <w:p w:rsidR="001B625D" w:rsidRPr="00E4722A" w:rsidRDefault="001B625D" w:rsidP="001A561A">
            <w:r w:rsidRPr="00E4722A">
              <w:t>7%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F"/>
            <w:noWrap/>
            <w:hideMark/>
          </w:tcPr>
          <w:p w:rsidR="001B625D" w:rsidRPr="00E4722A" w:rsidRDefault="001B625D" w:rsidP="001A561A">
            <w:r w:rsidRPr="00E4722A">
              <w:t>6%</w:t>
            </w:r>
          </w:p>
        </w:tc>
      </w:tr>
      <w:tr w:rsidR="001B625D" w:rsidRPr="00710049" w:rsidTr="00726D57">
        <w:trPr>
          <w:trHeight w:val="464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Derslerde teknolojik araç ve gereçler etkin kullanılmaktadır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D5AB"/>
            <w:noWrap/>
            <w:hideMark/>
          </w:tcPr>
          <w:p w:rsidR="001B625D" w:rsidRPr="00E4722A" w:rsidRDefault="001B625D" w:rsidP="001A561A">
            <w:r w:rsidRPr="00E4722A">
              <w:t>24%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D9B4"/>
            <w:noWrap/>
            <w:hideMark/>
          </w:tcPr>
          <w:p w:rsidR="001B625D" w:rsidRPr="00E4722A" w:rsidRDefault="001B625D" w:rsidP="001A561A">
            <w:r w:rsidRPr="00E4722A">
              <w:t>21%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hideMark/>
          </w:tcPr>
          <w:p w:rsidR="001B625D" w:rsidRPr="00E4722A" w:rsidRDefault="001B625D" w:rsidP="001A561A">
            <w:r w:rsidRPr="00E4722A"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4ED"/>
            <w:noWrap/>
            <w:hideMark/>
          </w:tcPr>
          <w:p w:rsidR="001B625D" w:rsidRPr="00E4722A" w:rsidRDefault="001B625D" w:rsidP="001A561A">
            <w:r w:rsidRPr="00E4722A">
              <w:t>10%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0"/>
            <w:noWrap/>
            <w:hideMark/>
          </w:tcPr>
          <w:p w:rsidR="001B625D" w:rsidRPr="00E4722A" w:rsidRDefault="001B625D" w:rsidP="001A561A">
            <w:r w:rsidRPr="00E4722A">
              <w:t>10%</w:t>
            </w:r>
          </w:p>
        </w:tc>
      </w:tr>
      <w:tr w:rsidR="001B625D" w:rsidRPr="00710049" w:rsidTr="00726D57">
        <w:trPr>
          <w:trHeight w:val="464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Danışmanım sorunlarımla ilgilenmektedir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2C488"/>
            <w:noWrap/>
            <w:hideMark/>
          </w:tcPr>
          <w:p w:rsidR="001B625D" w:rsidRPr="00E4722A" w:rsidRDefault="001B625D" w:rsidP="001A561A">
            <w:r w:rsidRPr="00E4722A">
              <w:t>41%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BDCBA"/>
            <w:noWrap/>
            <w:hideMark/>
          </w:tcPr>
          <w:p w:rsidR="001B625D" w:rsidRPr="00E4722A" w:rsidRDefault="001B625D" w:rsidP="001A561A">
            <w:r w:rsidRPr="00E4722A">
              <w:t>18%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0D0A2"/>
            <w:noWrap/>
            <w:hideMark/>
          </w:tcPr>
          <w:p w:rsidR="001B625D" w:rsidRPr="00E4722A" w:rsidRDefault="001B625D" w:rsidP="001A561A">
            <w:r w:rsidRPr="00E4722A">
              <w:t>25%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0E4"/>
            <w:noWrap/>
            <w:hideMark/>
          </w:tcPr>
          <w:p w:rsidR="001B625D" w:rsidRPr="00E4722A" w:rsidRDefault="001B625D" w:rsidP="001A561A">
            <w:r w:rsidRPr="00E4722A">
              <w:t>7%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5F0"/>
            <w:noWrap/>
            <w:hideMark/>
          </w:tcPr>
          <w:p w:rsidR="001B625D" w:rsidRPr="00E4722A" w:rsidRDefault="001B625D" w:rsidP="001A561A">
            <w:r w:rsidRPr="00E4722A">
              <w:t>8%</w:t>
            </w:r>
          </w:p>
        </w:tc>
      </w:tr>
      <w:tr w:rsidR="001B625D" w:rsidRPr="00710049" w:rsidTr="00726D57">
        <w:trPr>
          <w:trHeight w:val="464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Dersliklerin donanımı uygundur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0D0A2"/>
            <w:noWrap/>
            <w:hideMark/>
          </w:tcPr>
          <w:p w:rsidR="001B625D" w:rsidRPr="00E4722A" w:rsidRDefault="001B625D" w:rsidP="001A561A">
            <w:r w:rsidRPr="00E4722A">
              <w:t>27%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1D8B1"/>
            <w:noWrap/>
            <w:hideMark/>
          </w:tcPr>
          <w:p w:rsidR="001B625D" w:rsidRPr="00E4722A" w:rsidRDefault="001B625D" w:rsidP="001A561A">
            <w:r w:rsidRPr="00E4722A">
              <w:t>23%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CA94"/>
            <w:noWrap/>
            <w:hideMark/>
          </w:tcPr>
          <w:p w:rsidR="001B625D" w:rsidRPr="00E4722A" w:rsidRDefault="001B625D" w:rsidP="001A561A">
            <w:r w:rsidRPr="00E4722A">
              <w:t>29%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0E4"/>
            <w:noWrap/>
            <w:hideMark/>
          </w:tcPr>
          <w:p w:rsidR="001B625D" w:rsidRPr="00E4722A" w:rsidRDefault="001B625D" w:rsidP="001A561A">
            <w:r w:rsidRPr="00E4722A">
              <w:t>8%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4ED"/>
            <w:noWrap/>
            <w:hideMark/>
          </w:tcPr>
          <w:p w:rsidR="001B625D" w:rsidRPr="00E4722A" w:rsidRDefault="001B625D" w:rsidP="001A561A">
            <w:r w:rsidRPr="00E4722A">
              <w:t>12%</w:t>
            </w:r>
          </w:p>
        </w:tc>
      </w:tr>
      <w:tr w:rsidR="001B625D" w:rsidRPr="00710049" w:rsidTr="00726D57">
        <w:trPr>
          <w:trHeight w:val="464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Proje olanaklarından haberdar edilmekteyim.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1A2"/>
            <w:noWrap/>
            <w:hideMark/>
          </w:tcPr>
          <w:p w:rsidR="001B625D" w:rsidRPr="00E4722A" w:rsidRDefault="001B625D" w:rsidP="001A561A">
            <w:r w:rsidRPr="00E4722A">
              <w:t>25%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D4A9"/>
            <w:noWrap/>
            <w:hideMark/>
          </w:tcPr>
          <w:p w:rsidR="001B625D" w:rsidRPr="00E4722A" w:rsidRDefault="001B625D" w:rsidP="001A561A">
            <w:r w:rsidRPr="00E4722A">
              <w:t>24%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FC385"/>
            <w:noWrap/>
            <w:hideMark/>
          </w:tcPr>
          <w:p w:rsidR="001B625D" w:rsidRPr="00E4722A" w:rsidRDefault="001B625D" w:rsidP="001A561A">
            <w:r w:rsidRPr="00E4722A">
              <w:t>31%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4EE"/>
            <w:noWrap/>
            <w:hideMark/>
          </w:tcPr>
          <w:p w:rsidR="001B625D" w:rsidRPr="00E4722A" w:rsidRDefault="001B625D" w:rsidP="001A561A">
            <w:r w:rsidRPr="00E4722A">
              <w:t>9%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F8"/>
            <w:noWrap/>
            <w:hideMark/>
          </w:tcPr>
          <w:p w:rsidR="001B625D" w:rsidRPr="00E4722A" w:rsidRDefault="001B625D" w:rsidP="001A561A">
            <w:r w:rsidRPr="00E4722A">
              <w:t>12%</w:t>
            </w:r>
          </w:p>
        </w:tc>
      </w:tr>
      <w:tr w:rsidR="001B625D" w:rsidRPr="00710049" w:rsidTr="00726D57">
        <w:trPr>
          <w:trHeight w:val="464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 web sayfası kullanışlıdır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8D4A8"/>
            <w:noWrap/>
            <w:hideMark/>
          </w:tcPr>
          <w:p w:rsidR="001B625D" w:rsidRPr="00E4722A" w:rsidRDefault="001B625D" w:rsidP="001A561A">
            <w:r w:rsidRPr="00E4722A">
              <w:t>29%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8D4A8"/>
            <w:noWrap/>
            <w:hideMark/>
          </w:tcPr>
          <w:p w:rsidR="001B625D" w:rsidRPr="00E4722A" w:rsidRDefault="001B625D" w:rsidP="001A561A">
            <w:r w:rsidRPr="00E4722A">
              <w:t>21%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CC891"/>
            <w:noWrap/>
            <w:hideMark/>
          </w:tcPr>
          <w:p w:rsidR="001B625D" w:rsidRPr="00E4722A" w:rsidRDefault="001B625D" w:rsidP="001A561A">
            <w:r w:rsidRPr="00E4722A">
              <w:t>28%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0E4"/>
            <w:noWrap/>
            <w:hideMark/>
          </w:tcPr>
          <w:p w:rsidR="001B625D" w:rsidRPr="00E4722A" w:rsidRDefault="001B625D" w:rsidP="001A561A">
            <w:r w:rsidRPr="00E4722A">
              <w:t>12%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6F2"/>
            <w:noWrap/>
            <w:hideMark/>
          </w:tcPr>
          <w:p w:rsidR="001B625D" w:rsidRPr="00E4722A" w:rsidRDefault="001B625D" w:rsidP="001A561A">
            <w:r w:rsidRPr="00E4722A">
              <w:t>11%</w:t>
            </w:r>
          </w:p>
        </w:tc>
      </w:tr>
      <w:tr w:rsidR="001B625D" w:rsidRPr="00710049" w:rsidTr="00726D57">
        <w:trPr>
          <w:trHeight w:val="464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Öğrencilere temiz ve </w:t>
            </w:r>
            <w:proofErr w:type="gramStart"/>
            <w:r w:rsidRPr="00710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hijyenik</w:t>
            </w:r>
            <w:proofErr w:type="gramEnd"/>
            <w:r w:rsidRPr="00710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bir ortam sunulmaktadır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7DAB6"/>
            <w:noWrap/>
            <w:hideMark/>
          </w:tcPr>
          <w:p w:rsidR="001B625D" w:rsidRPr="00E4722A" w:rsidRDefault="001B625D" w:rsidP="001A561A">
            <w:r w:rsidRPr="00E4722A">
              <w:t>23%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1CB95"/>
            <w:noWrap/>
            <w:hideMark/>
          </w:tcPr>
          <w:p w:rsidR="001B625D" w:rsidRPr="00E4722A" w:rsidRDefault="001B625D" w:rsidP="001A561A">
            <w:r w:rsidRPr="00E4722A">
              <w:t>23%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1A3"/>
            <w:noWrap/>
            <w:hideMark/>
          </w:tcPr>
          <w:p w:rsidR="001B625D" w:rsidRPr="00E4722A" w:rsidRDefault="001B625D" w:rsidP="001A561A">
            <w:r w:rsidRPr="00E4722A">
              <w:t>31%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4EE"/>
            <w:noWrap/>
            <w:hideMark/>
          </w:tcPr>
          <w:p w:rsidR="001B625D" w:rsidRPr="00E4722A" w:rsidRDefault="001B625D" w:rsidP="001A561A">
            <w:r w:rsidRPr="00E4722A">
              <w:t>10%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ECDB"/>
            <w:noWrap/>
            <w:hideMark/>
          </w:tcPr>
          <w:p w:rsidR="001B625D" w:rsidRPr="00E4722A" w:rsidRDefault="001B625D" w:rsidP="001A561A">
            <w:r w:rsidRPr="00E4722A">
              <w:t>13%</w:t>
            </w:r>
          </w:p>
        </w:tc>
      </w:tr>
      <w:tr w:rsidR="001B625D" w:rsidRPr="00710049" w:rsidTr="00726D57">
        <w:trPr>
          <w:trHeight w:val="464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 kulüp etkinlikleri yapılmaktadır.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D6AE"/>
            <w:noWrap/>
            <w:hideMark/>
          </w:tcPr>
          <w:p w:rsidR="001B625D" w:rsidRPr="00E4722A" w:rsidRDefault="001B625D" w:rsidP="001A561A">
            <w:r w:rsidRPr="00E4722A">
              <w:t>22%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5AC"/>
            <w:noWrap/>
            <w:hideMark/>
          </w:tcPr>
          <w:p w:rsidR="001B625D" w:rsidRPr="00E4722A" w:rsidRDefault="001B625D" w:rsidP="001A561A">
            <w:r w:rsidRPr="00E4722A">
              <w:t>18%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CC97"/>
            <w:noWrap/>
            <w:hideMark/>
          </w:tcPr>
          <w:p w:rsidR="001B625D" w:rsidRPr="00E4722A" w:rsidRDefault="001B625D" w:rsidP="001A561A">
            <w:r w:rsidRPr="00E4722A">
              <w:t>32%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FE2"/>
            <w:noWrap/>
            <w:hideMark/>
          </w:tcPr>
          <w:p w:rsidR="001B625D" w:rsidRPr="00E4722A" w:rsidRDefault="001B625D" w:rsidP="001A561A">
            <w:r w:rsidRPr="00E4722A">
              <w:t>13%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0E4"/>
            <w:noWrap/>
            <w:hideMark/>
          </w:tcPr>
          <w:p w:rsidR="001B625D" w:rsidRPr="00E4722A" w:rsidRDefault="001B625D" w:rsidP="001A561A">
            <w:r w:rsidRPr="00E4722A">
              <w:t>16%</w:t>
            </w:r>
          </w:p>
        </w:tc>
      </w:tr>
      <w:tr w:rsidR="001B625D" w:rsidRPr="00710049" w:rsidTr="00726D57">
        <w:trPr>
          <w:trHeight w:val="464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 tarafından kültürel, sportif ve sanatsal olanaklar sunulmaktadır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CBB"/>
            <w:noWrap/>
            <w:hideMark/>
          </w:tcPr>
          <w:p w:rsidR="001B625D" w:rsidRPr="00E4722A" w:rsidRDefault="001B625D" w:rsidP="001A561A">
            <w:r w:rsidRPr="00E4722A">
              <w:t>22%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7CD9A"/>
            <w:noWrap/>
            <w:hideMark/>
          </w:tcPr>
          <w:p w:rsidR="001B625D" w:rsidRPr="00E4722A" w:rsidRDefault="001B625D" w:rsidP="001A561A">
            <w:r w:rsidRPr="00E4722A">
              <w:t>22%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1CB95"/>
            <w:noWrap/>
            <w:hideMark/>
          </w:tcPr>
          <w:p w:rsidR="001B625D" w:rsidRPr="00E4722A" w:rsidRDefault="001B625D" w:rsidP="001A561A">
            <w:r w:rsidRPr="00E4722A">
              <w:t>31%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2E9"/>
            <w:noWrap/>
            <w:hideMark/>
          </w:tcPr>
          <w:p w:rsidR="001B625D" w:rsidRPr="00E4722A" w:rsidRDefault="001B625D" w:rsidP="001A561A">
            <w:r w:rsidRPr="00E4722A">
              <w:t>11%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0E4"/>
            <w:noWrap/>
            <w:hideMark/>
          </w:tcPr>
          <w:p w:rsidR="001B625D" w:rsidRPr="00E4722A" w:rsidRDefault="001B625D" w:rsidP="001A561A">
            <w:r w:rsidRPr="00E4722A">
              <w:t>15%</w:t>
            </w:r>
          </w:p>
        </w:tc>
      </w:tr>
      <w:tr w:rsidR="001B625D" w:rsidRPr="00710049" w:rsidTr="00726D57">
        <w:trPr>
          <w:trHeight w:val="464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Merkezi kütüphane fiziki yönden ve donanım açısından uygundur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BB7"/>
            <w:noWrap/>
            <w:hideMark/>
          </w:tcPr>
          <w:p w:rsidR="001B625D" w:rsidRPr="00E4722A" w:rsidRDefault="001B625D" w:rsidP="001A561A">
            <w:r w:rsidRPr="00E4722A">
              <w:t>25%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1A3"/>
            <w:noWrap/>
            <w:hideMark/>
          </w:tcPr>
          <w:p w:rsidR="001B625D" w:rsidRPr="00E4722A" w:rsidRDefault="001B625D" w:rsidP="001A561A">
            <w:r w:rsidRPr="00E4722A"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9C181"/>
            <w:noWrap/>
            <w:hideMark/>
          </w:tcPr>
          <w:p w:rsidR="001B625D" w:rsidRPr="00E4722A" w:rsidRDefault="001B625D" w:rsidP="001A561A">
            <w:r w:rsidRPr="00E4722A">
              <w:t>29%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AFA"/>
            <w:noWrap/>
            <w:hideMark/>
          </w:tcPr>
          <w:p w:rsidR="001B625D" w:rsidRPr="00E4722A" w:rsidRDefault="001B625D" w:rsidP="001A561A">
            <w:r w:rsidRPr="00E4722A">
              <w:t>7%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FE2"/>
            <w:noWrap/>
            <w:hideMark/>
          </w:tcPr>
          <w:p w:rsidR="001B625D" w:rsidRPr="00E4722A" w:rsidRDefault="001B625D" w:rsidP="001A561A">
            <w:r w:rsidRPr="00E4722A">
              <w:t>14%</w:t>
            </w:r>
          </w:p>
        </w:tc>
      </w:tr>
      <w:tr w:rsidR="001B625D" w:rsidRPr="00710049" w:rsidTr="00726D57">
        <w:trPr>
          <w:trHeight w:val="464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Üniversitede yer alan kantin, kafe, restoran vb. işletmeler kaliteli hizmet sunmaktadır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DDBD"/>
            <w:noWrap/>
            <w:hideMark/>
          </w:tcPr>
          <w:p w:rsidR="001B625D" w:rsidRPr="00E4722A" w:rsidRDefault="001B625D" w:rsidP="001A561A">
            <w:r w:rsidRPr="00E4722A">
              <w:t>25%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CF9E"/>
            <w:noWrap/>
            <w:hideMark/>
          </w:tcPr>
          <w:p w:rsidR="001B625D" w:rsidRPr="00E4722A" w:rsidRDefault="001B625D" w:rsidP="001A561A">
            <w:r w:rsidRPr="00E4722A">
              <w:t>23%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0A0"/>
            <w:noWrap/>
            <w:hideMark/>
          </w:tcPr>
          <w:p w:rsidR="001B625D" w:rsidRPr="00E4722A" w:rsidRDefault="001B625D" w:rsidP="001A561A">
            <w:r w:rsidRPr="00E4722A">
              <w:t>26%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DDF"/>
            <w:noWrap/>
            <w:hideMark/>
          </w:tcPr>
          <w:p w:rsidR="001B625D" w:rsidRPr="00E4722A" w:rsidRDefault="001B625D" w:rsidP="001A561A">
            <w:r w:rsidRPr="00E4722A">
              <w:t>11%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CDD"/>
            <w:noWrap/>
            <w:hideMark/>
          </w:tcPr>
          <w:p w:rsidR="001B625D" w:rsidRPr="00E4722A" w:rsidRDefault="001B625D" w:rsidP="001A561A">
            <w:r w:rsidRPr="00E4722A">
              <w:t>15%</w:t>
            </w:r>
          </w:p>
        </w:tc>
      </w:tr>
      <w:tr w:rsidR="001B625D" w:rsidRPr="00710049" w:rsidTr="00726D57">
        <w:trPr>
          <w:trHeight w:val="464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Üniversitenin kariyer planlama etkinlikleri yapılmaktadır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D9B5"/>
            <w:noWrap/>
            <w:hideMark/>
          </w:tcPr>
          <w:p w:rsidR="001B625D" w:rsidRPr="00E4722A" w:rsidRDefault="001B625D" w:rsidP="001A561A">
            <w:r w:rsidRPr="00E4722A">
              <w:t>24%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D9B3"/>
            <w:noWrap/>
            <w:hideMark/>
          </w:tcPr>
          <w:p w:rsidR="001B625D" w:rsidRPr="00E4722A" w:rsidRDefault="001B625D" w:rsidP="001A561A">
            <w:r w:rsidRPr="00E4722A">
              <w:t>21%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2C488"/>
            <w:noWrap/>
            <w:hideMark/>
          </w:tcPr>
          <w:p w:rsidR="001B625D" w:rsidRPr="00E4722A" w:rsidRDefault="001B625D" w:rsidP="001A561A">
            <w:r w:rsidRPr="00E4722A">
              <w:t>31%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EBDB"/>
            <w:noWrap/>
            <w:hideMark/>
          </w:tcPr>
          <w:p w:rsidR="001B625D" w:rsidRPr="00E4722A" w:rsidRDefault="001B625D" w:rsidP="001A561A">
            <w:r w:rsidRPr="00E4722A">
              <w:t>12%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F3EC"/>
            <w:noWrap/>
            <w:hideMark/>
          </w:tcPr>
          <w:p w:rsidR="001B625D" w:rsidRPr="00E4722A" w:rsidRDefault="001B625D" w:rsidP="001A561A">
            <w:r w:rsidRPr="00E4722A">
              <w:t>12%</w:t>
            </w:r>
          </w:p>
        </w:tc>
      </w:tr>
      <w:tr w:rsidR="001B625D" w:rsidRPr="00710049" w:rsidTr="00726D57">
        <w:trPr>
          <w:trHeight w:val="464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Değişim programları (</w:t>
            </w:r>
            <w:proofErr w:type="spellStart"/>
            <w:r w:rsidRPr="00710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Erasmus</w:t>
            </w:r>
            <w:proofErr w:type="spellEnd"/>
            <w:r w:rsidRPr="00710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+, Farabi, Mevlana, vb.) bilgilendirme yapılmaktadır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D9B4"/>
            <w:noWrap/>
            <w:hideMark/>
          </w:tcPr>
          <w:p w:rsidR="001B625D" w:rsidRPr="00E4722A" w:rsidRDefault="001B625D" w:rsidP="001A561A">
            <w:r w:rsidRPr="00E4722A">
              <w:t>24%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CF9F"/>
            <w:noWrap/>
            <w:hideMark/>
          </w:tcPr>
          <w:p w:rsidR="001B625D" w:rsidRPr="00E4722A" w:rsidRDefault="001B625D" w:rsidP="001A561A">
            <w:r w:rsidRPr="00E4722A">
              <w:t>22%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9CE9C"/>
            <w:noWrap/>
            <w:hideMark/>
          </w:tcPr>
          <w:p w:rsidR="001B625D" w:rsidRPr="00E4722A" w:rsidRDefault="001B625D" w:rsidP="001A561A">
            <w:r w:rsidRPr="00E4722A">
              <w:t>31%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EE0"/>
            <w:noWrap/>
            <w:hideMark/>
          </w:tcPr>
          <w:p w:rsidR="001B625D" w:rsidRPr="00E4722A" w:rsidRDefault="001B625D" w:rsidP="001A561A">
            <w:r w:rsidRPr="00E4722A">
              <w:t>9%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2E9"/>
            <w:noWrap/>
            <w:hideMark/>
          </w:tcPr>
          <w:p w:rsidR="001B625D" w:rsidRPr="00E4722A" w:rsidRDefault="001B625D" w:rsidP="001A561A">
            <w:r w:rsidRPr="00E4722A">
              <w:t>14%</w:t>
            </w:r>
          </w:p>
        </w:tc>
      </w:tr>
      <w:tr w:rsidR="001B625D" w:rsidRPr="00710049" w:rsidTr="00726D57">
        <w:trPr>
          <w:trHeight w:val="464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Üniversitenin özel </w:t>
            </w:r>
            <w:proofErr w:type="spellStart"/>
            <w:r w:rsidRPr="00710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gereksinimli</w:t>
            </w:r>
            <w:proofErr w:type="spellEnd"/>
            <w:r w:rsidRPr="00710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bireyler açısından erişilebilirliği uygundur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D4AA"/>
            <w:noWrap/>
            <w:hideMark/>
          </w:tcPr>
          <w:p w:rsidR="001B625D" w:rsidRPr="00E4722A" w:rsidRDefault="001B625D" w:rsidP="001A561A">
            <w:r w:rsidRPr="00E4722A">
              <w:t>23%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DD6AD"/>
            <w:noWrap/>
            <w:hideMark/>
          </w:tcPr>
          <w:p w:rsidR="001B625D" w:rsidRPr="00E4722A" w:rsidRDefault="001B625D" w:rsidP="001A561A">
            <w:r w:rsidRPr="00E4722A">
              <w:t>22%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3C589"/>
            <w:noWrap/>
            <w:hideMark/>
          </w:tcPr>
          <w:p w:rsidR="001B625D" w:rsidRPr="00E4722A" w:rsidRDefault="001B625D" w:rsidP="001A561A">
            <w:r w:rsidRPr="00E4722A"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F1E7"/>
            <w:noWrap/>
            <w:hideMark/>
          </w:tcPr>
          <w:p w:rsidR="001B625D" w:rsidRPr="00E4722A" w:rsidRDefault="001B625D" w:rsidP="001A561A">
            <w:r w:rsidRPr="00E4722A">
              <w:t>10%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0"/>
            <w:noWrap/>
            <w:hideMark/>
          </w:tcPr>
          <w:p w:rsidR="001B625D" w:rsidRPr="00E4722A" w:rsidRDefault="001B625D" w:rsidP="001A561A">
            <w:r w:rsidRPr="00E4722A">
              <w:t>14%</w:t>
            </w:r>
          </w:p>
        </w:tc>
      </w:tr>
      <w:tr w:rsidR="001B625D" w:rsidRPr="00710049" w:rsidTr="00726D57">
        <w:trPr>
          <w:trHeight w:val="464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Topluma hizmet uygulamaları yapılmaktadır.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D9B3"/>
            <w:noWrap/>
            <w:hideMark/>
          </w:tcPr>
          <w:p w:rsidR="001B625D" w:rsidRPr="00E4722A" w:rsidRDefault="001B625D" w:rsidP="001A561A">
            <w:r w:rsidRPr="00E4722A">
              <w:t>25%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D7B0"/>
            <w:noWrap/>
            <w:hideMark/>
          </w:tcPr>
          <w:p w:rsidR="001B625D" w:rsidRPr="00E4722A" w:rsidRDefault="001B625D" w:rsidP="001A561A">
            <w:r w:rsidRPr="00E4722A">
              <w:t>21%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CA94"/>
            <w:noWrap/>
            <w:hideMark/>
          </w:tcPr>
          <w:p w:rsidR="001B625D" w:rsidRPr="00E4722A" w:rsidRDefault="001B625D" w:rsidP="001A561A">
            <w:r w:rsidRPr="00E4722A">
              <w:t>28%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E4"/>
            <w:noWrap/>
            <w:hideMark/>
          </w:tcPr>
          <w:p w:rsidR="001B625D" w:rsidRPr="00E4722A" w:rsidRDefault="001B625D" w:rsidP="001A561A">
            <w:r w:rsidRPr="00E4722A">
              <w:t>12%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CDD"/>
            <w:noWrap/>
            <w:hideMark/>
          </w:tcPr>
          <w:p w:rsidR="001B625D" w:rsidRPr="00E4722A" w:rsidRDefault="001B625D" w:rsidP="001A561A">
            <w:r w:rsidRPr="00E4722A">
              <w:t>14%</w:t>
            </w:r>
          </w:p>
        </w:tc>
      </w:tr>
      <w:tr w:rsidR="001B625D" w:rsidRPr="00710049" w:rsidTr="00726D57">
        <w:trPr>
          <w:trHeight w:val="464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D" w:rsidRPr="00710049" w:rsidRDefault="001B625D" w:rsidP="0071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0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 içi huzur ve güven hizmetleri uygundur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CF9E"/>
            <w:noWrap/>
            <w:hideMark/>
          </w:tcPr>
          <w:p w:rsidR="001B625D" w:rsidRPr="00E4722A" w:rsidRDefault="001B625D" w:rsidP="001A561A">
            <w:r w:rsidRPr="00E4722A">
              <w:t>27%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0D0A2"/>
            <w:noWrap/>
            <w:hideMark/>
          </w:tcPr>
          <w:p w:rsidR="001B625D" w:rsidRPr="00E4722A" w:rsidRDefault="001B625D" w:rsidP="001A561A">
            <w:r w:rsidRPr="00E4722A"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CC97"/>
            <w:noWrap/>
            <w:hideMark/>
          </w:tcPr>
          <w:p w:rsidR="001B625D" w:rsidRPr="00E4722A" w:rsidRDefault="001B625D" w:rsidP="001A561A">
            <w:r w:rsidRPr="00E4722A">
              <w:t>25%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7F5"/>
            <w:noWrap/>
            <w:hideMark/>
          </w:tcPr>
          <w:p w:rsidR="001B625D" w:rsidRPr="00E4722A" w:rsidRDefault="001B625D" w:rsidP="001A561A">
            <w:r w:rsidRPr="00E4722A">
              <w:t>9%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F3EC"/>
            <w:noWrap/>
            <w:hideMark/>
          </w:tcPr>
          <w:p w:rsidR="001B625D" w:rsidRDefault="001B625D" w:rsidP="001A561A">
            <w:r w:rsidRPr="00E4722A">
              <w:t>14%</w:t>
            </w:r>
          </w:p>
        </w:tc>
      </w:tr>
    </w:tbl>
    <w:p w:rsidR="00710049" w:rsidRDefault="00710049" w:rsidP="00406C2F">
      <w:pPr>
        <w:ind w:firstLine="708"/>
        <w:jc w:val="both"/>
        <w:rPr>
          <w:rFonts w:ascii="Times New Roman" w:hAnsi="Times New Roman" w:cs="Times New Roman"/>
        </w:rPr>
      </w:pPr>
    </w:p>
    <w:p w:rsidR="00726D57" w:rsidRDefault="00726D57" w:rsidP="00406C2F">
      <w:pPr>
        <w:ind w:firstLine="708"/>
        <w:jc w:val="both"/>
        <w:rPr>
          <w:rFonts w:ascii="Times New Roman" w:hAnsi="Times New Roman" w:cs="Times New Roman"/>
        </w:rPr>
      </w:pPr>
    </w:p>
    <w:p w:rsidR="00820974" w:rsidRPr="00291EA5" w:rsidRDefault="00820974" w:rsidP="00820974">
      <w:pPr>
        <w:rPr>
          <w:rFonts w:ascii="Times New Roman" w:hAnsi="Times New Roman" w:cs="Times New Roman"/>
        </w:rPr>
      </w:pPr>
    </w:p>
    <w:p w:rsidR="00CA000E" w:rsidRPr="002C2401" w:rsidRDefault="00406C2F" w:rsidP="00406C2F">
      <w:pPr>
        <w:ind w:firstLine="708"/>
        <w:jc w:val="both"/>
        <w:rPr>
          <w:rFonts w:ascii="Times New Roman" w:hAnsi="Times New Roman" w:cs="Times New Roman"/>
        </w:rPr>
      </w:pPr>
      <w:r w:rsidRPr="002C2401">
        <w:rPr>
          <w:rFonts w:ascii="Times New Roman" w:hAnsi="Times New Roman" w:cs="Times New Roman"/>
        </w:rPr>
        <w:lastRenderedPageBreak/>
        <w:t>Çizelge 1</w:t>
      </w:r>
      <w:r w:rsidR="00CA000E" w:rsidRPr="002C2401">
        <w:rPr>
          <w:rFonts w:ascii="Times New Roman" w:hAnsi="Times New Roman" w:cs="Times New Roman"/>
        </w:rPr>
        <w:t>’de</w:t>
      </w:r>
      <w:r w:rsidRPr="002C2401">
        <w:rPr>
          <w:rFonts w:ascii="Times New Roman" w:hAnsi="Times New Roman" w:cs="Times New Roman"/>
        </w:rPr>
        <w:t>,</w:t>
      </w:r>
      <w:r w:rsidR="00CA000E" w:rsidRPr="002C2401">
        <w:rPr>
          <w:rFonts w:ascii="Times New Roman" w:hAnsi="Times New Roman" w:cs="Times New Roman"/>
        </w:rPr>
        <w:t xml:space="preserve"> </w:t>
      </w:r>
      <w:r w:rsidR="00F324CB" w:rsidRPr="002C2401">
        <w:rPr>
          <w:rFonts w:ascii="Times New Roman" w:hAnsi="Times New Roman" w:cs="Times New Roman"/>
        </w:rPr>
        <w:t>Öğrenci</w:t>
      </w:r>
      <w:r w:rsidR="00CA000E" w:rsidRPr="002C2401">
        <w:rPr>
          <w:rFonts w:ascii="Times New Roman" w:hAnsi="Times New Roman" w:cs="Times New Roman"/>
        </w:rPr>
        <w:t xml:space="preserve"> Memnuniyet Anketine verilen cevapların yüzdelik dağılımları gösterilmiştir. Tabloya uygulanan renklendirme ile yüzdelik olarak yüksek cevaplar daha koyu renklerde, yüzdelik olarak daha düşük renkler ise açık renklerde işaretlenmiştir.</w:t>
      </w:r>
    </w:p>
    <w:p w:rsidR="00BC5B08" w:rsidRPr="002C2401" w:rsidRDefault="00D01DE2" w:rsidP="009402DF">
      <w:pPr>
        <w:ind w:firstLine="708"/>
        <w:jc w:val="both"/>
        <w:rPr>
          <w:rFonts w:ascii="Times New Roman" w:hAnsi="Times New Roman" w:cs="Times New Roman"/>
        </w:rPr>
      </w:pPr>
      <w:r w:rsidRPr="002C2401">
        <w:rPr>
          <w:rFonts w:ascii="Times New Roman" w:hAnsi="Times New Roman" w:cs="Times New Roman"/>
        </w:rPr>
        <w:t xml:space="preserve">Şekil 1’de </w:t>
      </w:r>
      <w:r w:rsidR="00F324CB" w:rsidRPr="002C2401">
        <w:rPr>
          <w:rFonts w:ascii="Times New Roman" w:hAnsi="Times New Roman" w:cs="Times New Roman"/>
        </w:rPr>
        <w:t xml:space="preserve">Öğrenci </w:t>
      </w:r>
      <w:r w:rsidR="00406C2F" w:rsidRPr="002C2401">
        <w:rPr>
          <w:rFonts w:ascii="Times New Roman" w:hAnsi="Times New Roman" w:cs="Times New Roman"/>
        </w:rPr>
        <w:t xml:space="preserve">Memnuniyet Anketinin </w:t>
      </w:r>
      <w:r w:rsidRPr="002C2401">
        <w:rPr>
          <w:rFonts w:ascii="Times New Roman" w:hAnsi="Times New Roman" w:cs="Times New Roman"/>
        </w:rPr>
        <w:t xml:space="preserve">soru </w:t>
      </w:r>
      <w:proofErr w:type="gramStart"/>
      <w:r w:rsidRPr="002C2401">
        <w:rPr>
          <w:rFonts w:ascii="Times New Roman" w:hAnsi="Times New Roman" w:cs="Times New Roman"/>
        </w:rPr>
        <w:t>bazlı</w:t>
      </w:r>
      <w:proofErr w:type="gramEnd"/>
      <w:r w:rsidRPr="002C2401">
        <w:rPr>
          <w:rFonts w:ascii="Times New Roman" w:hAnsi="Times New Roman" w:cs="Times New Roman"/>
        </w:rPr>
        <w:t xml:space="preserve"> memnuniyet yüzdeleri gösterilmiştir. </w:t>
      </w:r>
      <w:r w:rsidR="00F324CB" w:rsidRPr="002C2401">
        <w:rPr>
          <w:rFonts w:ascii="Times New Roman" w:hAnsi="Times New Roman" w:cs="Times New Roman"/>
        </w:rPr>
        <w:t xml:space="preserve">Öğrencilerin </w:t>
      </w:r>
      <w:r w:rsidR="00BC5B08" w:rsidRPr="002C2401">
        <w:rPr>
          <w:rFonts w:ascii="Times New Roman" w:hAnsi="Times New Roman" w:cs="Times New Roman"/>
        </w:rPr>
        <w:t>memnuniye</w:t>
      </w:r>
      <w:r w:rsidR="009402DF" w:rsidRPr="002C2401">
        <w:rPr>
          <w:rFonts w:ascii="Times New Roman" w:hAnsi="Times New Roman" w:cs="Times New Roman"/>
        </w:rPr>
        <w:t>t oranının en yüksek olduğu soru</w:t>
      </w:r>
      <w:r w:rsidR="00BC5B08" w:rsidRPr="002C2401">
        <w:rPr>
          <w:rFonts w:ascii="Times New Roman" w:hAnsi="Times New Roman" w:cs="Times New Roman"/>
        </w:rPr>
        <w:t>lar;</w:t>
      </w:r>
      <w:r w:rsidR="0042661B" w:rsidRPr="002C2401">
        <w:rPr>
          <w:rFonts w:ascii="Times New Roman" w:hAnsi="Times New Roman" w:cs="Times New Roman"/>
        </w:rPr>
        <w:t xml:space="preserve"> </w:t>
      </w:r>
      <w:r w:rsidR="0042661B" w:rsidRPr="00F20728">
        <w:rPr>
          <w:rFonts w:ascii="Times New Roman" w:hAnsi="Times New Roman" w:cs="Times New Roman"/>
        </w:rPr>
        <w:t xml:space="preserve">öğrenci </w:t>
      </w:r>
      <w:r w:rsidR="00F20728" w:rsidRPr="00F20728">
        <w:rPr>
          <w:rFonts w:ascii="Times New Roman" w:eastAsia="Times New Roman" w:hAnsi="Times New Roman" w:cs="Times New Roman"/>
          <w:color w:val="000000"/>
          <w:lang w:eastAsia="tr-TR"/>
        </w:rPr>
        <w:t>kulüp etkinlikleri</w:t>
      </w:r>
      <w:r w:rsidR="00F20728" w:rsidRPr="0071004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="00F20728">
        <w:rPr>
          <w:rFonts w:ascii="Times New Roman" w:hAnsi="Times New Roman" w:cs="Times New Roman"/>
        </w:rPr>
        <w:t xml:space="preserve">ve </w:t>
      </w:r>
      <w:r w:rsidR="00F20728" w:rsidRPr="00F20728">
        <w:rPr>
          <w:rFonts w:ascii="Times New Roman" w:eastAsia="Times New Roman" w:hAnsi="Times New Roman" w:cs="Times New Roman"/>
          <w:color w:val="000000"/>
          <w:lang w:eastAsia="tr-TR"/>
        </w:rPr>
        <w:t>Üniversite tarafından kültürel, sportif ve sanatsal olan</w:t>
      </w:r>
      <w:r w:rsidR="00F20728">
        <w:rPr>
          <w:rFonts w:ascii="Times New Roman" w:eastAsia="Times New Roman" w:hAnsi="Times New Roman" w:cs="Times New Roman"/>
          <w:color w:val="000000"/>
          <w:lang w:eastAsia="tr-TR"/>
        </w:rPr>
        <w:t>aklar sunulmasına</w:t>
      </w:r>
      <w:r w:rsidR="0042661B" w:rsidRPr="002C2401">
        <w:rPr>
          <w:rFonts w:ascii="Times New Roman" w:hAnsi="Times New Roman" w:cs="Times New Roman"/>
        </w:rPr>
        <w:t xml:space="preserve"> </w:t>
      </w:r>
      <w:r w:rsidR="00A6335A" w:rsidRPr="002C2401">
        <w:rPr>
          <w:rFonts w:ascii="Times New Roman" w:hAnsi="Times New Roman" w:cs="Times New Roman"/>
        </w:rPr>
        <w:t>i</w:t>
      </w:r>
      <w:r w:rsidR="009402DF" w:rsidRPr="002C2401">
        <w:rPr>
          <w:rFonts w:ascii="Times New Roman" w:hAnsi="Times New Roman" w:cs="Times New Roman"/>
        </w:rPr>
        <w:t xml:space="preserve">lişkin </w:t>
      </w:r>
      <w:r w:rsidR="00A6335A" w:rsidRPr="002C2401">
        <w:rPr>
          <w:rFonts w:ascii="Times New Roman" w:hAnsi="Times New Roman" w:cs="Times New Roman"/>
        </w:rPr>
        <w:t>konulardır.</w:t>
      </w:r>
    </w:p>
    <w:p w:rsidR="00FF401D" w:rsidRPr="002C2401" w:rsidRDefault="00134C6D" w:rsidP="00E9562A">
      <w:pPr>
        <w:ind w:firstLine="708"/>
        <w:jc w:val="both"/>
        <w:rPr>
          <w:rFonts w:ascii="Times New Roman" w:hAnsi="Times New Roman" w:cs="Times New Roman"/>
        </w:rPr>
      </w:pPr>
      <w:r w:rsidRPr="002C2401">
        <w:rPr>
          <w:rFonts w:ascii="Times New Roman" w:hAnsi="Times New Roman" w:cs="Times New Roman"/>
        </w:rPr>
        <w:t>Memnuniyet seviyesinin en düşük olduğu konular ise</w:t>
      </w:r>
      <w:r w:rsidR="0042661B" w:rsidRPr="0042661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20728">
        <w:rPr>
          <w:rFonts w:ascii="Times New Roman" w:hAnsi="Times New Roman" w:cs="Times New Roman"/>
        </w:rPr>
        <w:t>D</w:t>
      </w:r>
      <w:r w:rsidR="00F20728" w:rsidRPr="002C2401">
        <w:rPr>
          <w:rFonts w:ascii="Times New Roman" w:hAnsi="Times New Roman" w:cs="Times New Roman"/>
        </w:rPr>
        <w:t>anışmanların öğrenci sorunlarına karşı duyarlılığı</w:t>
      </w:r>
      <w:r w:rsidR="00F20728">
        <w:rPr>
          <w:rFonts w:ascii="Times New Roman" w:hAnsi="Times New Roman" w:cs="Times New Roman"/>
        </w:rPr>
        <w:t xml:space="preserve"> ve </w:t>
      </w:r>
      <w:r w:rsidR="00F20728" w:rsidRPr="00F20728">
        <w:rPr>
          <w:rFonts w:ascii="Times New Roman" w:eastAsia="Times New Roman" w:hAnsi="Times New Roman" w:cs="Times New Roman"/>
          <w:color w:val="000000"/>
          <w:lang w:eastAsia="tr-TR"/>
        </w:rPr>
        <w:t>Öğretim elemanları alanındaki yenilikleri ve gelişmeleri paylaşımlarına</w:t>
      </w:r>
      <w:r w:rsidR="001267AF" w:rsidRPr="002C2401">
        <w:rPr>
          <w:rFonts w:ascii="Times New Roman" w:hAnsi="Times New Roman" w:cs="Times New Roman"/>
          <w:color w:val="000000"/>
        </w:rPr>
        <w:t xml:space="preserve"> </w:t>
      </w:r>
      <w:r w:rsidR="00A6335A" w:rsidRPr="002C2401">
        <w:rPr>
          <w:rFonts w:ascii="Times New Roman" w:hAnsi="Times New Roman" w:cs="Times New Roman"/>
        </w:rPr>
        <w:t>ilişkin konulardır.</w:t>
      </w:r>
    </w:p>
    <w:p w:rsidR="00B502B0" w:rsidRDefault="00D01DE2" w:rsidP="00AC1F4C">
      <w:pPr>
        <w:ind w:firstLine="708"/>
        <w:jc w:val="both"/>
        <w:rPr>
          <w:rFonts w:ascii="Times New Roman" w:hAnsi="Times New Roman" w:cs="Times New Roman"/>
        </w:rPr>
      </w:pPr>
      <w:r w:rsidRPr="002C2401">
        <w:rPr>
          <w:rFonts w:ascii="Times New Roman" w:hAnsi="Times New Roman" w:cs="Times New Roman"/>
        </w:rPr>
        <w:t xml:space="preserve">Uygulanan </w:t>
      </w:r>
      <w:r w:rsidR="00071429" w:rsidRPr="002C2401">
        <w:rPr>
          <w:rFonts w:ascii="Times New Roman" w:hAnsi="Times New Roman" w:cs="Times New Roman"/>
        </w:rPr>
        <w:t>öğrenci</w:t>
      </w:r>
      <w:r w:rsidRPr="002C2401">
        <w:rPr>
          <w:rFonts w:ascii="Times New Roman" w:hAnsi="Times New Roman" w:cs="Times New Roman"/>
        </w:rPr>
        <w:t xml:space="preserve"> memnuniyet anketinin </w:t>
      </w:r>
      <w:r w:rsidR="00071429" w:rsidRPr="002C2401">
        <w:rPr>
          <w:rFonts w:ascii="Times New Roman" w:hAnsi="Times New Roman" w:cs="Times New Roman"/>
        </w:rPr>
        <w:t>genel memnuniyet oranı ise %</w:t>
      </w:r>
      <w:r w:rsidR="00E9562A" w:rsidRPr="002C2401">
        <w:rPr>
          <w:rFonts w:ascii="Times New Roman" w:hAnsi="Times New Roman" w:cs="Times New Roman"/>
        </w:rPr>
        <w:t xml:space="preserve"> </w:t>
      </w:r>
      <w:r w:rsidR="00071429" w:rsidRPr="002C2401">
        <w:rPr>
          <w:rFonts w:ascii="Times New Roman" w:hAnsi="Times New Roman" w:cs="Times New Roman"/>
        </w:rPr>
        <w:t>6</w:t>
      </w:r>
      <w:r w:rsidR="00424AF4">
        <w:rPr>
          <w:rFonts w:ascii="Times New Roman" w:hAnsi="Times New Roman" w:cs="Times New Roman"/>
        </w:rPr>
        <w:t>7</w:t>
      </w:r>
      <w:r w:rsidR="002D13D6" w:rsidRPr="002C2401">
        <w:rPr>
          <w:rFonts w:ascii="Times New Roman" w:hAnsi="Times New Roman" w:cs="Times New Roman"/>
        </w:rPr>
        <w:t xml:space="preserve"> olarak hesaplanmıştır</w:t>
      </w:r>
      <w:r w:rsidR="00B502B0" w:rsidRPr="002C2401">
        <w:rPr>
          <w:rFonts w:ascii="Times New Roman" w:hAnsi="Times New Roman" w:cs="Times New Roman"/>
        </w:rPr>
        <w:t>.</w:t>
      </w:r>
      <w:r w:rsidRPr="002C2401">
        <w:rPr>
          <w:rFonts w:ascii="Times New Roman" w:hAnsi="Times New Roman" w:cs="Times New Roman"/>
        </w:rPr>
        <w:t xml:space="preserve"> </w:t>
      </w:r>
    </w:p>
    <w:p w:rsidR="0068730B" w:rsidRDefault="0068730B" w:rsidP="008A37F2">
      <w:pPr>
        <w:jc w:val="both"/>
        <w:rPr>
          <w:rFonts w:ascii="Times New Roman" w:hAnsi="Times New Roman" w:cs="Times New Roman"/>
        </w:rPr>
      </w:pPr>
    </w:p>
    <w:p w:rsidR="00AC1F4C" w:rsidRDefault="00AC1F4C" w:rsidP="00053DA4">
      <w:pPr>
        <w:jc w:val="center"/>
        <w:rPr>
          <w:rFonts w:ascii="Times New Roman" w:hAnsi="Times New Roman" w:cs="Times New Roman"/>
        </w:rPr>
      </w:pPr>
      <w:r w:rsidRPr="00291EA5">
        <w:rPr>
          <w:rFonts w:ascii="Times New Roman" w:hAnsi="Times New Roman" w:cs="Times New Roman"/>
          <w:b/>
        </w:rPr>
        <w:t>Şekil 1:</w:t>
      </w:r>
      <w:r w:rsidRPr="00291EA5">
        <w:rPr>
          <w:rFonts w:ascii="Times New Roman" w:hAnsi="Times New Roman" w:cs="Times New Roman"/>
        </w:rPr>
        <w:t xml:space="preserve"> </w:t>
      </w:r>
      <w:r w:rsidR="00F20728">
        <w:rPr>
          <w:rFonts w:ascii="Times New Roman" w:hAnsi="Times New Roman" w:cs="Times New Roman"/>
        </w:rPr>
        <w:t xml:space="preserve">2025 </w:t>
      </w:r>
      <w:r w:rsidRPr="00291EA5">
        <w:rPr>
          <w:rFonts w:ascii="Times New Roman" w:hAnsi="Times New Roman" w:cs="Times New Roman"/>
        </w:rPr>
        <w:t>Öğrenci genel memnuniyet oranı grafiği.</w:t>
      </w:r>
    </w:p>
    <w:p w:rsidR="008A37F2" w:rsidRDefault="00F20728" w:rsidP="00053DA4">
      <w:pPr>
        <w:jc w:val="center"/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042DED3B" wp14:editId="70F2ABB3">
            <wp:extent cx="6353175" cy="3219450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F2" w:rsidRPr="008A37F2" w:rsidRDefault="008A37F2" w:rsidP="008A37F2">
      <w:pPr>
        <w:rPr>
          <w:rFonts w:ascii="Times New Roman" w:hAnsi="Times New Roman" w:cs="Times New Roman"/>
        </w:rPr>
      </w:pPr>
    </w:p>
    <w:p w:rsidR="008A37F2" w:rsidRDefault="008A37F2" w:rsidP="008A37F2">
      <w:pPr>
        <w:rPr>
          <w:rFonts w:ascii="Times New Roman" w:hAnsi="Times New Roman" w:cs="Times New Roman"/>
        </w:rPr>
      </w:pPr>
    </w:p>
    <w:p w:rsidR="008A37F2" w:rsidRPr="008A37F2" w:rsidRDefault="008A37F2" w:rsidP="008A37F2">
      <w:pPr>
        <w:ind w:firstLine="708"/>
        <w:rPr>
          <w:rFonts w:ascii="Times New Roman" w:hAnsi="Times New Roman" w:cs="Times New Roman"/>
        </w:rPr>
      </w:pPr>
    </w:p>
    <w:sectPr w:rsidR="008A37F2" w:rsidRPr="008A37F2" w:rsidSect="00934BBC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974"/>
    <w:rsid w:val="00053DA4"/>
    <w:rsid w:val="00071429"/>
    <w:rsid w:val="000C3586"/>
    <w:rsid w:val="001267AF"/>
    <w:rsid w:val="00134C6D"/>
    <w:rsid w:val="001B625D"/>
    <w:rsid w:val="001C4BAF"/>
    <w:rsid w:val="00255B94"/>
    <w:rsid w:val="00291EA5"/>
    <w:rsid w:val="002B383D"/>
    <w:rsid w:val="002C2401"/>
    <w:rsid w:val="002D13D6"/>
    <w:rsid w:val="00406C2F"/>
    <w:rsid w:val="00424AF4"/>
    <w:rsid w:val="0042661B"/>
    <w:rsid w:val="005B1DD1"/>
    <w:rsid w:val="00610C62"/>
    <w:rsid w:val="00663610"/>
    <w:rsid w:val="0068730B"/>
    <w:rsid w:val="00710049"/>
    <w:rsid w:val="00726D57"/>
    <w:rsid w:val="00731B09"/>
    <w:rsid w:val="007B7974"/>
    <w:rsid w:val="007E7851"/>
    <w:rsid w:val="00820974"/>
    <w:rsid w:val="008550C3"/>
    <w:rsid w:val="008A276E"/>
    <w:rsid w:val="008A37F2"/>
    <w:rsid w:val="008C6ADF"/>
    <w:rsid w:val="00934BBC"/>
    <w:rsid w:val="009402DF"/>
    <w:rsid w:val="00952C71"/>
    <w:rsid w:val="009B7C82"/>
    <w:rsid w:val="00A00FC4"/>
    <w:rsid w:val="00A51433"/>
    <w:rsid w:val="00A6335A"/>
    <w:rsid w:val="00AC1F4C"/>
    <w:rsid w:val="00AD53A3"/>
    <w:rsid w:val="00AF5EB7"/>
    <w:rsid w:val="00B12D3A"/>
    <w:rsid w:val="00B42F6C"/>
    <w:rsid w:val="00B502B0"/>
    <w:rsid w:val="00B86F06"/>
    <w:rsid w:val="00BA2F6B"/>
    <w:rsid w:val="00BC5B08"/>
    <w:rsid w:val="00C26570"/>
    <w:rsid w:val="00CA000E"/>
    <w:rsid w:val="00CC0C98"/>
    <w:rsid w:val="00CE7A2B"/>
    <w:rsid w:val="00D01DE2"/>
    <w:rsid w:val="00D41AF3"/>
    <w:rsid w:val="00D83427"/>
    <w:rsid w:val="00DF3742"/>
    <w:rsid w:val="00E9562A"/>
    <w:rsid w:val="00EE1A43"/>
    <w:rsid w:val="00EE2AE8"/>
    <w:rsid w:val="00F20728"/>
    <w:rsid w:val="00F324CB"/>
    <w:rsid w:val="00F45C61"/>
    <w:rsid w:val="00F52B15"/>
    <w:rsid w:val="00F7644E"/>
    <w:rsid w:val="00F83459"/>
    <w:rsid w:val="00F975F7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2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6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2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6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in-10\Downloads\2025%20ANKET%20&#214;&#286;RENC&#30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Öğrenci Memnuniyet Oranı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'[2025 ANKET ÖĞRENCİ.xlsx]Sayfa2'!$B$1</c:f>
              <c:strCache>
                <c:ptCount val="1"/>
                <c:pt idx="0">
                  <c:v>Soru Bazlı Memnuniyet Oranı</c:v>
                </c:pt>
              </c:strCache>
            </c:strRef>
          </c:tx>
          <c:spPr>
            <a:solidFill>
              <a:schemeClr val="bg1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'[2025 ANKET ÖĞRENCİ.xlsx]Sayfa2'!$A$2:$A$18</c:f>
              <c:strCache>
                <c:ptCount val="17"/>
                <c:pt idx="0">
                  <c:v>Soru 1</c:v>
                </c:pt>
                <c:pt idx="1">
                  <c:v>Soru 2</c:v>
                </c:pt>
                <c:pt idx="2">
                  <c:v>Soru 3</c:v>
                </c:pt>
                <c:pt idx="3">
                  <c:v>Soru 4</c:v>
                </c:pt>
                <c:pt idx="4">
                  <c:v>Soru 5</c:v>
                </c:pt>
                <c:pt idx="5">
                  <c:v>Soru 6</c:v>
                </c:pt>
                <c:pt idx="6">
                  <c:v>Soru 7</c:v>
                </c:pt>
                <c:pt idx="7">
                  <c:v>Soru 8</c:v>
                </c:pt>
                <c:pt idx="8">
                  <c:v>Soru 9</c:v>
                </c:pt>
                <c:pt idx="9">
                  <c:v>Soru 10</c:v>
                </c:pt>
                <c:pt idx="10">
                  <c:v>Soru 11</c:v>
                </c:pt>
                <c:pt idx="11">
                  <c:v>Soru 12</c:v>
                </c:pt>
                <c:pt idx="12">
                  <c:v>Soru 13</c:v>
                </c:pt>
                <c:pt idx="13">
                  <c:v>Soru 14</c:v>
                </c:pt>
                <c:pt idx="14">
                  <c:v>Soru 15</c:v>
                </c:pt>
                <c:pt idx="15">
                  <c:v>Soru 16</c:v>
                </c:pt>
                <c:pt idx="16">
                  <c:v>Genel</c:v>
                </c:pt>
              </c:strCache>
            </c:strRef>
          </c:cat>
          <c:val>
            <c:numRef>
              <c:f>'[2025 ANKET ÖĞRENCİ.xlsx]Sayfa2'!$B$2:$B$18</c:f>
              <c:numCache>
                <c:formatCode>0%</c:formatCode>
                <c:ptCount val="17"/>
                <c:pt idx="0">
                  <c:v>0.73086419753086418</c:v>
                </c:pt>
                <c:pt idx="1">
                  <c:v>0.67777777777777781</c:v>
                </c:pt>
                <c:pt idx="2">
                  <c:v>0.7560371517027864</c:v>
                </c:pt>
                <c:pt idx="3">
                  <c:v>0.68978328173374615</c:v>
                </c:pt>
                <c:pt idx="4">
                  <c:v>0.68421052631578949</c:v>
                </c:pt>
                <c:pt idx="5">
                  <c:v>0.69102167182662544</c:v>
                </c:pt>
                <c:pt idx="6">
                  <c:v>0.66234567901234565</c:v>
                </c:pt>
                <c:pt idx="7">
                  <c:v>0.63271604938271608</c:v>
                </c:pt>
                <c:pt idx="8">
                  <c:v>0.64876543209876547</c:v>
                </c:pt>
                <c:pt idx="9">
                  <c:v>0.67630769230769228</c:v>
                </c:pt>
                <c:pt idx="10">
                  <c:v>0.66191950464396287</c:v>
                </c:pt>
                <c:pt idx="11">
                  <c:v>0.66646153846153844</c:v>
                </c:pt>
                <c:pt idx="12">
                  <c:v>0.66666666666666663</c:v>
                </c:pt>
                <c:pt idx="13">
                  <c:v>0.66092307692307695</c:v>
                </c:pt>
                <c:pt idx="14">
                  <c:v>0.66172839506172842</c:v>
                </c:pt>
                <c:pt idx="15">
                  <c:v>0.6819875776397516</c:v>
                </c:pt>
                <c:pt idx="16">
                  <c:v>0.67809476369286459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55652992"/>
        <c:axId val="255654528"/>
      </c:barChart>
      <c:catAx>
        <c:axId val="255652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55654528"/>
        <c:crosses val="autoZero"/>
        <c:auto val="1"/>
        <c:lblAlgn val="ctr"/>
        <c:lblOffset val="100"/>
        <c:noMultiLvlLbl val="0"/>
      </c:catAx>
      <c:valAx>
        <c:axId val="255654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556529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AC22D-7686-4C15-B53F-203E8874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</dc:creator>
  <cp:lastModifiedBy>Win-10</cp:lastModifiedBy>
  <cp:revision>2</cp:revision>
  <cp:lastPrinted>2025-12-03T06:43:00Z</cp:lastPrinted>
  <dcterms:created xsi:type="dcterms:W3CDTF">2025-12-03T06:58:00Z</dcterms:created>
  <dcterms:modified xsi:type="dcterms:W3CDTF">2025-12-03T06:58:00Z</dcterms:modified>
</cp:coreProperties>
</file>