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459" w:rsidRPr="00291EA5" w:rsidRDefault="00F83459" w:rsidP="00F83459">
      <w:pPr>
        <w:jc w:val="center"/>
        <w:rPr>
          <w:rFonts w:ascii="Times New Roman" w:hAnsi="Times New Roman" w:cs="Times New Roman"/>
          <w:b/>
        </w:rPr>
      </w:pPr>
      <w:r w:rsidRPr="00291EA5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-422447</wp:posOffset>
            </wp:positionH>
            <wp:positionV relativeFrom="paragraph">
              <wp:posOffset>-611471</wp:posOffset>
            </wp:positionV>
            <wp:extent cx="1062681" cy="1043075"/>
            <wp:effectExtent l="0" t="0" r="0" b="0"/>
            <wp:wrapNone/>
            <wp:docPr id="2" name="Resim 2" descr="revize edilen üniversite logosu hakkı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ze edilen üniversite logosu hakkın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81" cy="10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EA5">
        <w:rPr>
          <w:rFonts w:ascii="Times New Roman" w:hAnsi="Times New Roman" w:cs="Times New Roman"/>
          <w:b/>
        </w:rPr>
        <w:t>Dicle Üniversitesi Diyarbakır Tarım Meslek Yüksekokulu</w:t>
      </w:r>
    </w:p>
    <w:p w:rsidR="00B502B0" w:rsidRPr="00291EA5" w:rsidRDefault="00610C62" w:rsidP="00F83459">
      <w:pPr>
        <w:jc w:val="center"/>
        <w:rPr>
          <w:rFonts w:ascii="Times New Roman" w:hAnsi="Times New Roman" w:cs="Times New Roman"/>
          <w:b/>
        </w:rPr>
      </w:pPr>
      <w:r w:rsidRPr="00291EA5">
        <w:rPr>
          <w:rFonts w:ascii="Times New Roman" w:hAnsi="Times New Roman" w:cs="Times New Roman"/>
          <w:b/>
        </w:rPr>
        <w:t>Öğrenci</w:t>
      </w:r>
      <w:r w:rsidR="00820974" w:rsidRPr="00291EA5">
        <w:rPr>
          <w:rFonts w:ascii="Times New Roman" w:hAnsi="Times New Roman" w:cs="Times New Roman"/>
          <w:b/>
        </w:rPr>
        <w:t xml:space="preserve"> Memnuniyet Anketi</w:t>
      </w:r>
      <w:r w:rsidR="00F83459" w:rsidRPr="00291EA5">
        <w:rPr>
          <w:rFonts w:ascii="Times New Roman" w:hAnsi="Times New Roman" w:cs="Times New Roman"/>
          <w:b/>
        </w:rPr>
        <w:t xml:space="preserve"> </w:t>
      </w:r>
      <w:r w:rsidR="00406C2F" w:rsidRPr="00291EA5">
        <w:rPr>
          <w:rFonts w:ascii="Times New Roman" w:hAnsi="Times New Roman" w:cs="Times New Roman"/>
          <w:b/>
        </w:rPr>
        <w:t>–</w:t>
      </w:r>
      <w:r w:rsidR="00F83459" w:rsidRPr="00291EA5">
        <w:rPr>
          <w:rFonts w:ascii="Times New Roman" w:hAnsi="Times New Roman" w:cs="Times New Roman"/>
          <w:b/>
        </w:rPr>
        <w:t xml:space="preserve"> 202</w:t>
      </w:r>
      <w:r w:rsidR="009B7C82" w:rsidRPr="00291EA5">
        <w:rPr>
          <w:rFonts w:ascii="Times New Roman" w:hAnsi="Times New Roman" w:cs="Times New Roman"/>
          <w:b/>
        </w:rPr>
        <w:t>3</w:t>
      </w:r>
    </w:p>
    <w:p w:rsidR="00406C2F" w:rsidRPr="00291EA5" w:rsidRDefault="00406C2F" w:rsidP="00F83459">
      <w:pPr>
        <w:jc w:val="center"/>
        <w:rPr>
          <w:rFonts w:ascii="Times New Roman" w:hAnsi="Times New Roman" w:cs="Times New Roman"/>
          <w:b/>
        </w:rPr>
      </w:pPr>
    </w:p>
    <w:p w:rsidR="00406C2F" w:rsidRPr="00291EA5" w:rsidRDefault="00CE7A2B" w:rsidP="00406C2F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t>202</w:t>
      </w:r>
      <w:r w:rsidR="009B7C82" w:rsidRPr="00291EA5">
        <w:rPr>
          <w:rFonts w:ascii="Times New Roman" w:hAnsi="Times New Roman" w:cs="Times New Roman"/>
        </w:rPr>
        <w:t>3</w:t>
      </w:r>
      <w:r w:rsidRPr="00291EA5">
        <w:rPr>
          <w:rFonts w:ascii="Times New Roman" w:hAnsi="Times New Roman" w:cs="Times New Roman"/>
        </w:rPr>
        <w:t xml:space="preserve"> yılında </w:t>
      </w:r>
      <w:proofErr w:type="spellStart"/>
      <w:r w:rsidRPr="00291EA5">
        <w:rPr>
          <w:rFonts w:ascii="Times New Roman" w:hAnsi="Times New Roman" w:cs="Times New Roman"/>
        </w:rPr>
        <w:t>Proliz</w:t>
      </w:r>
      <w:proofErr w:type="spellEnd"/>
      <w:r w:rsidRPr="00291EA5">
        <w:rPr>
          <w:rFonts w:ascii="Times New Roman" w:hAnsi="Times New Roman" w:cs="Times New Roman"/>
        </w:rPr>
        <w:t xml:space="preserve"> Öğrenci Bilgi Sistemi üzerinden öğrenci Memnuniyet anketi uygulanmıştır. Toplamda 16 sorudan soruda oluşan ankette, her soru için 5 ayrı cevap seçeneği bulunmaktadır. Anketi cevaplayan kişilerin bu cevap şıklarından herhangi birini işaretlemesi zorunlu kılınmıştır. Bu sayede anketi cevaplayanların herhangi bir soruda boş cevap vermesi engellenmiştir. </w:t>
      </w:r>
      <w:proofErr w:type="spellStart"/>
      <w:r w:rsidRPr="00291EA5">
        <w:rPr>
          <w:rFonts w:ascii="Times New Roman" w:hAnsi="Times New Roman" w:cs="Times New Roman"/>
        </w:rPr>
        <w:t>Proliz</w:t>
      </w:r>
      <w:proofErr w:type="spellEnd"/>
      <w:r w:rsidRPr="00291EA5">
        <w:rPr>
          <w:rFonts w:ascii="Times New Roman" w:hAnsi="Times New Roman" w:cs="Times New Roman"/>
        </w:rPr>
        <w:t xml:space="preserve"> Yazılım Öğrenci Bilgi Sistemi kimlik doğrulaması ile erişilecek şekilde düzenlenen ankette bir kişinin birden çok anket doldurması engellenmiştir. Ankete t</w:t>
      </w:r>
      <w:r w:rsidR="00C26570" w:rsidRPr="00291EA5">
        <w:rPr>
          <w:rFonts w:ascii="Times New Roman" w:hAnsi="Times New Roman" w:cs="Times New Roman"/>
        </w:rPr>
        <w:t xml:space="preserve">oplamda </w:t>
      </w:r>
      <w:r w:rsidR="00BA2F6B" w:rsidRPr="00291EA5">
        <w:rPr>
          <w:rFonts w:ascii="Times New Roman" w:hAnsi="Times New Roman" w:cs="Times New Roman"/>
        </w:rPr>
        <w:t>366</w:t>
      </w:r>
      <w:r w:rsidR="00C26570" w:rsidRPr="00291EA5">
        <w:rPr>
          <w:rFonts w:ascii="Times New Roman" w:hAnsi="Times New Roman" w:cs="Times New Roman"/>
        </w:rPr>
        <w:t xml:space="preserve"> öğrenci katılmıştır</w:t>
      </w:r>
      <w:r w:rsidRPr="00291EA5">
        <w:rPr>
          <w:rFonts w:ascii="Times New Roman" w:hAnsi="Times New Roman" w:cs="Times New Roman"/>
        </w:rPr>
        <w:t xml:space="preserve"> </w:t>
      </w:r>
      <w:r w:rsidR="00406C2F" w:rsidRPr="00291EA5">
        <w:rPr>
          <w:rFonts w:ascii="Times New Roman" w:hAnsi="Times New Roman" w:cs="Times New Roman"/>
        </w:rPr>
        <w:t>(Çizelge 1).</w:t>
      </w:r>
    </w:p>
    <w:tbl>
      <w:tblPr>
        <w:tblW w:w="99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516"/>
        <w:gridCol w:w="595"/>
        <w:gridCol w:w="595"/>
        <w:gridCol w:w="596"/>
        <w:gridCol w:w="595"/>
        <w:gridCol w:w="596"/>
      </w:tblGrid>
      <w:tr w:rsidR="009402DF" w:rsidRPr="00291EA5" w:rsidTr="009402DF">
        <w:trPr>
          <w:trHeight w:val="255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9402DF" w:rsidRPr="00291EA5" w:rsidRDefault="009402DF" w:rsidP="00406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D3A" w:rsidRPr="00291EA5" w:rsidRDefault="009402DF" w:rsidP="00CE7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b/>
                <w:sz w:val="20"/>
                <w:szCs w:val="20"/>
              </w:rPr>
              <w:t>Çizelge 1</w:t>
            </w: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E7A2B" w:rsidRPr="00291EA5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B12D3A" w:rsidRPr="00291EA5">
              <w:rPr>
                <w:rFonts w:ascii="Times New Roman" w:hAnsi="Times New Roman" w:cs="Times New Roman"/>
                <w:sz w:val="20"/>
                <w:szCs w:val="20"/>
              </w:rPr>
              <w:t>ğrenci</w:t>
            </w: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 xml:space="preserve"> memnuniyet anketi soru bazlı cevap yüzdeleri dağılım çizelgesi.</w:t>
            </w:r>
          </w:p>
        </w:tc>
      </w:tr>
      <w:tr w:rsidR="00255B94" w:rsidRPr="00291EA5" w:rsidTr="00255B94">
        <w:trPr>
          <w:cantSplit/>
          <w:trHeight w:val="1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vAlign w:val="center"/>
          </w:tcPr>
          <w:p w:rsidR="00255B94" w:rsidRPr="00291EA5" w:rsidRDefault="00255B94" w:rsidP="00255B9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 No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:rsidR="00255B94" w:rsidRPr="00291EA5" w:rsidRDefault="00255B94" w:rsidP="0025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Sorular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hideMark/>
          </w:tcPr>
          <w:p w:rsidR="00255B94" w:rsidRPr="00291EA5" w:rsidRDefault="00255B94" w:rsidP="00255B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Hemen hemen her zaman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hideMark/>
          </w:tcPr>
          <w:p w:rsidR="00255B94" w:rsidRPr="00291EA5" w:rsidRDefault="00255B94" w:rsidP="00255B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Sık sık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hideMark/>
          </w:tcPr>
          <w:p w:rsidR="00255B94" w:rsidRPr="00291EA5" w:rsidRDefault="00255B94" w:rsidP="00255B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Zaman zaman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hideMark/>
          </w:tcPr>
          <w:p w:rsidR="00255B94" w:rsidRPr="00291EA5" w:rsidRDefault="00255B94" w:rsidP="00255B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Nadiren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textDirection w:val="btLr"/>
            <w:hideMark/>
          </w:tcPr>
          <w:p w:rsidR="00255B94" w:rsidRPr="00291EA5" w:rsidRDefault="00255B94" w:rsidP="00255B9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sz w:val="20"/>
                <w:szCs w:val="20"/>
              </w:rPr>
              <w:t>Hemen hemen hiçbir zaman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Öğretim elemanları alanındaki yenilikleri ve gelişmeleri paylaşmaktadır.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C48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DBD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DBD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F4ED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CFF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Derslerde teknolojik araç ve gereçler etkin kullanılmaktadır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1A4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CBA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6F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Danışmanım sorunlarımla ilgilenmektedir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E1C5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FC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F4ED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F9F8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Dersliklerin donanımı uygundur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D7AF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E4CC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D5A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EBD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F2E9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 olanaklarından haberdar edilmekteyim.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D5A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E1C5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8B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6F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 web sayfası kullanışlıdır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D7AF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E1C5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D3A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6F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Öğrencilere temiz ve hijyenik bir ortam sunulmaktadır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E3C8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6D0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Öğrenci kulüp etkinlikleri yapılmaktadır.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CBA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6D0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D5A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E8D3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 tarafından kültürel, sportif ve sanatsal olanaklar sunulmaktadır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6D0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D7AF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6D0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F0E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Merkezi kütüphane fiziki yönden ve donanım açısından uygundur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8B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D5A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Üniversitede yer alan kantin, kafe, restoran vb. işletmeler kaliteli hizmet sunmaktadır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E1C5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DDE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D5A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E4CC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6D0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Üniversitenin kariyer planlama etkinlikleri yapılmaktadır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E1C5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EBD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D3A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E3C8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Değişim programları (</w:t>
            </w:r>
            <w:proofErr w:type="spellStart"/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Erasmus</w:t>
            </w:r>
            <w:proofErr w:type="spellEnd"/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+, Farabi, </w:t>
            </w:r>
            <w:proofErr w:type="gramStart"/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Mevlana</w:t>
            </w:r>
            <w:proofErr w:type="gramEnd"/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vb.) bilgilendirme yapılmaktadır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FC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E3C8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E8D3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Üniversitenin özel </w:t>
            </w:r>
            <w:proofErr w:type="spellStart"/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gereksinimli</w:t>
            </w:r>
            <w:proofErr w:type="spellEnd"/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bireyler açısından erişilebilirliği uygundur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CBA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EBDB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D3A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E4CC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Topluma hizmet uygulamaları yapılmaktadır.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AB6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EAD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8B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E3C8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FE2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12%</w:t>
            </w:r>
          </w:p>
        </w:tc>
      </w:tr>
      <w:tr w:rsidR="001C4BAF" w:rsidRPr="00291EA5" w:rsidTr="000D55A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BAF" w:rsidRPr="00291EA5" w:rsidRDefault="001C4BAF" w:rsidP="001C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91EA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Üniversite içi huzur ve güven hizmetleri uygundur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D3A7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FC1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D7AF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F2E9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F2E9"/>
            <w:noWrap/>
          </w:tcPr>
          <w:p w:rsidR="001C4BAF" w:rsidRPr="00291EA5" w:rsidRDefault="001C4BAF" w:rsidP="001C4BA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10%</w:t>
            </w:r>
          </w:p>
        </w:tc>
      </w:tr>
    </w:tbl>
    <w:p w:rsidR="00820974" w:rsidRPr="00291EA5" w:rsidRDefault="00820974" w:rsidP="00820974">
      <w:pPr>
        <w:rPr>
          <w:rFonts w:ascii="Times New Roman" w:hAnsi="Times New Roman" w:cs="Times New Roman"/>
        </w:rPr>
      </w:pPr>
    </w:p>
    <w:p w:rsidR="00CA000E" w:rsidRPr="00291EA5" w:rsidRDefault="00406C2F" w:rsidP="00406C2F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t>Çizelge 1</w:t>
      </w:r>
      <w:r w:rsidR="00CA000E" w:rsidRPr="00291EA5">
        <w:rPr>
          <w:rFonts w:ascii="Times New Roman" w:hAnsi="Times New Roman" w:cs="Times New Roman"/>
        </w:rPr>
        <w:t>’de</w:t>
      </w:r>
      <w:r w:rsidRPr="00291EA5">
        <w:rPr>
          <w:rFonts w:ascii="Times New Roman" w:hAnsi="Times New Roman" w:cs="Times New Roman"/>
        </w:rPr>
        <w:t>,</w:t>
      </w:r>
      <w:r w:rsidR="00CA000E" w:rsidRPr="00291EA5">
        <w:rPr>
          <w:rFonts w:ascii="Times New Roman" w:hAnsi="Times New Roman" w:cs="Times New Roman"/>
        </w:rPr>
        <w:t xml:space="preserve"> </w:t>
      </w:r>
      <w:r w:rsidR="00F324CB" w:rsidRPr="00291EA5">
        <w:rPr>
          <w:rFonts w:ascii="Times New Roman" w:hAnsi="Times New Roman" w:cs="Times New Roman"/>
        </w:rPr>
        <w:t>Öğrenci</w:t>
      </w:r>
      <w:r w:rsidR="00CA000E" w:rsidRPr="00291EA5">
        <w:rPr>
          <w:rFonts w:ascii="Times New Roman" w:hAnsi="Times New Roman" w:cs="Times New Roman"/>
        </w:rPr>
        <w:t xml:space="preserve"> Memnuniyet Anketine verilen cevapların yüzdelik dağılımları gösterilmiştir. Tabloya uygulanan renklendirme ile yüzdelik olarak yüksek cevaplar daha koyu renklerde, yüzdelik olarak daha düşük renkler ise açık renklerde işaretlenmiştir.</w:t>
      </w:r>
    </w:p>
    <w:p w:rsidR="00BC5B08" w:rsidRPr="00291EA5" w:rsidRDefault="00D01DE2" w:rsidP="009402DF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lastRenderedPageBreak/>
        <w:t xml:space="preserve">Şekil 1’de </w:t>
      </w:r>
      <w:r w:rsidR="00F324CB" w:rsidRPr="00291EA5">
        <w:rPr>
          <w:rFonts w:ascii="Times New Roman" w:hAnsi="Times New Roman" w:cs="Times New Roman"/>
        </w:rPr>
        <w:t xml:space="preserve">Öğrenci </w:t>
      </w:r>
      <w:r w:rsidR="00406C2F" w:rsidRPr="00291EA5">
        <w:rPr>
          <w:rFonts w:ascii="Times New Roman" w:hAnsi="Times New Roman" w:cs="Times New Roman"/>
        </w:rPr>
        <w:t xml:space="preserve">Memnuniyet Anketinin </w:t>
      </w:r>
      <w:r w:rsidRPr="00291EA5">
        <w:rPr>
          <w:rFonts w:ascii="Times New Roman" w:hAnsi="Times New Roman" w:cs="Times New Roman"/>
        </w:rPr>
        <w:t xml:space="preserve">soru bazlı memnuniyet yüzdeleri gösterilmiştir. </w:t>
      </w:r>
      <w:r w:rsidR="00F324CB" w:rsidRPr="00291EA5">
        <w:rPr>
          <w:rFonts w:ascii="Times New Roman" w:hAnsi="Times New Roman" w:cs="Times New Roman"/>
        </w:rPr>
        <w:t xml:space="preserve">Öğrencilerin </w:t>
      </w:r>
      <w:r w:rsidR="00BC5B08" w:rsidRPr="00291EA5">
        <w:rPr>
          <w:rFonts w:ascii="Times New Roman" w:hAnsi="Times New Roman" w:cs="Times New Roman"/>
        </w:rPr>
        <w:t>memnuniye</w:t>
      </w:r>
      <w:r w:rsidR="009402DF" w:rsidRPr="00291EA5">
        <w:rPr>
          <w:rFonts w:ascii="Times New Roman" w:hAnsi="Times New Roman" w:cs="Times New Roman"/>
        </w:rPr>
        <w:t>t oranının en yüksek olduğu soru</w:t>
      </w:r>
      <w:r w:rsidR="00BC5B08" w:rsidRPr="00291EA5">
        <w:rPr>
          <w:rFonts w:ascii="Times New Roman" w:hAnsi="Times New Roman" w:cs="Times New Roman"/>
        </w:rPr>
        <w:t>lar;</w:t>
      </w:r>
      <w:r w:rsidR="00F324CB" w:rsidRPr="00291EA5">
        <w:rPr>
          <w:rFonts w:ascii="Times New Roman" w:hAnsi="Times New Roman" w:cs="Times New Roman"/>
        </w:rPr>
        <w:t xml:space="preserve"> öğretim elemanlarının alanındaki yenilikleri ve gelişmeleri paylaşması</w:t>
      </w:r>
      <w:r w:rsidR="00CC0C98" w:rsidRPr="00291EA5">
        <w:rPr>
          <w:rFonts w:ascii="Times New Roman" w:hAnsi="Times New Roman" w:cs="Times New Roman"/>
        </w:rPr>
        <w:t xml:space="preserve">, </w:t>
      </w:r>
      <w:r w:rsidR="00F324CB" w:rsidRPr="00291EA5">
        <w:rPr>
          <w:rFonts w:ascii="Times New Roman" w:hAnsi="Times New Roman" w:cs="Times New Roman"/>
        </w:rPr>
        <w:t>danışmanların öğrenci sorunlarına karşı duyarlılığı</w:t>
      </w:r>
      <w:r w:rsidR="00CC0C98" w:rsidRPr="00291EA5">
        <w:rPr>
          <w:rFonts w:ascii="Times New Roman" w:hAnsi="Times New Roman" w:cs="Times New Roman"/>
        </w:rPr>
        <w:t>, üniversite web sitesinin kullanışlılığı ve ü</w:t>
      </w:r>
      <w:r w:rsidR="00CC0C98" w:rsidRPr="00291EA5">
        <w:rPr>
          <w:rFonts w:ascii="Times New Roman" w:hAnsi="Times New Roman" w:cs="Times New Roman"/>
        </w:rPr>
        <w:t>niversite içi huzur ve güven hizmetleri</w:t>
      </w:r>
      <w:r w:rsidR="00CC0C98" w:rsidRPr="00291EA5">
        <w:rPr>
          <w:rFonts w:ascii="Times New Roman" w:hAnsi="Times New Roman" w:cs="Times New Roman"/>
        </w:rPr>
        <w:t>ne</w:t>
      </w:r>
      <w:r w:rsidR="00CC0C98" w:rsidRPr="00291EA5">
        <w:rPr>
          <w:rFonts w:ascii="Times New Roman" w:hAnsi="Times New Roman" w:cs="Times New Roman"/>
        </w:rPr>
        <w:t xml:space="preserve"> </w:t>
      </w:r>
      <w:r w:rsidR="00A6335A" w:rsidRPr="00291EA5">
        <w:rPr>
          <w:rFonts w:ascii="Times New Roman" w:hAnsi="Times New Roman" w:cs="Times New Roman"/>
        </w:rPr>
        <w:t>i</w:t>
      </w:r>
      <w:r w:rsidR="009402DF" w:rsidRPr="00291EA5">
        <w:rPr>
          <w:rFonts w:ascii="Times New Roman" w:hAnsi="Times New Roman" w:cs="Times New Roman"/>
        </w:rPr>
        <w:t xml:space="preserve">lişkin </w:t>
      </w:r>
      <w:r w:rsidR="00A6335A" w:rsidRPr="00291EA5">
        <w:rPr>
          <w:rFonts w:ascii="Times New Roman" w:hAnsi="Times New Roman" w:cs="Times New Roman"/>
        </w:rPr>
        <w:t>konulardır.</w:t>
      </w:r>
    </w:p>
    <w:p w:rsidR="00FF401D" w:rsidRPr="00291EA5" w:rsidRDefault="00134C6D" w:rsidP="00E9562A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t xml:space="preserve">Memnuniyet seviyesinin en düşük olduğu konular ise; </w:t>
      </w:r>
      <w:r w:rsidR="00A6335A" w:rsidRPr="00291EA5">
        <w:rPr>
          <w:rFonts w:ascii="Times New Roman" w:hAnsi="Times New Roman" w:cs="Times New Roman"/>
        </w:rPr>
        <w:t>ö</w:t>
      </w:r>
      <w:r w:rsidR="00FF401D" w:rsidRPr="00291EA5">
        <w:rPr>
          <w:rFonts w:ascii="Times New Roman" w:hAnsi="Times New Roman" w:cs="Times New Roman"/>
        </w:rPr>
        <w:t>ğrenci kulüp etkinlikleri</w:t>
      </w:r>
      <w:r w:rsidR="00FF401D" w:rsidRPr="00291EA5">
        <w:rPr>
          <w:rFonts w:ascii="Times New Roman" w:hAnsi="Times New Roman" w:cs="Times New Roman"/>
        </w:rPr>
        <w:t xml:space="preserve">, </w:t>
      </w:r>
      <w:r w:rsidR="00A6335A" w:rsidRPr="00291EA5">
        <w:rPr>
          <w:rFonts w:ascii="Times New Roman" w:hAnsi="Times New Roman" w:cs="Times New Roman"/>
        </w:rPr>
        <w:t>ü</w:t>
      </w:r>
      <w:r w:rsidR="00FF401D" w:rsidRPr="00291EA5">
        <w:rPr>
          <w:rFonts w:ascii="Times New Roman" w:hAnsi="Times New Roman" w:cs="Times New Roman"/>
        </w:rPr>
        <w:t>niversite tarafından</w:t>
      </w:r>
      <w:r w:rsidR="00FF401D" w:rsidRPr="00291EA5">
        <w:rPr>
          <w:rFonts w:ascii="Times New Roman" w:hAnsi="Times New Roman" w:cs="Times New Roman"/>
        </w:rPr>
        <w:t xml:space="preserve"> sunulan</w:t>
      </w:r>
      <w:r w:rsidR="00FF401D" w:rsidRPr="00291EA5">
        <w:rPr>
          <w:rFonts w:ascii="Times New Roman" w:hAnsi="Times New Roman" w:cs="Times New Roman"/>
        </w:rPr>
        <w:t xml:space="preserve"> kültürel, sportif ve sanatsal olanaklar</w:t>
      </w:r>
      <w:r w:rsidR="00FF401D" w:rsidRPr="00291EA5">
        <w:rPr>
          <w:rFonts w:ascii="Times New Roman" w:hAnsi="Times New Roman" w:cs="Times New Roman"/>
        </w:rPr>
        <w:t xml:space="preserve">, </w:t>
      </w:r>
      <w:r w:rsidR="00A6335A" w:rsidRPr="00291EA5">
        <w:rPr>
          <w:rFonts w:ascii="Times New Roman" w:hAnsi="Times New Roman" w:cs="Times New Roman"/>
        </w:rPr>
        <w:t>d</w:t>
      </w:r>
      <w:r w:rsidR="00FF401D" w:rsidRPr="00291EA5">
        <w:rPr>
          <w:rFonts w:ascii="Times New Roman" w:hAnsi="Times New Roman" w:cs="Times New Roman"/>
        </w:rPr>
        <w:t>eğişim programları (</w:t>
      </w:r>
      <w:proofErr w:type="spellStart"/>
      <w:r w:rsidR="00FF401D" w:rsidRPr="00291EA5">
        <w:rPr>
          <w:rFonts w:ascii="Times New Roman" w:hAnsi="Times New Roman" w:cs="Times New Roman"/>
        </w:rPr>
        <w:t>Erasmus</w:t>
      </w:r>
      <w:proofErr w:type="spellEnd"/>
      <w:r w:rsidR="00FF401D" w:rsidRPr="00291EA5">
        <w:rPr>
          <w:rFonts w:ascii="Times New Roman" w:hAnsi="Times New Roman" w:cs="Times New Roman"/>
        </w:rPr>
        <w:t xml:space="preserve"> +, Farabi, </w:t>
      </w:r>
      <w:proofErr w:type="gramStart"/>
      <w:r w:rsidR="00FF401D" w:rsidRPr="00291EA5">
        <w:rPr>
          <w:rFonts w:ascii="Times New Roman" w:hAnsi="Times New Roman" w:cs="Times New Roman"/>
        </w:rPr>
        <w:t>Mevlana</w:t>
      </w:r>
      <w:proofErr w:type="gramEnd"/>
      <w:r w:rsidR="00FF401D" w:rsidRPr="00291EA5">
        <w:rPr>
          <w:rFonts w:ascii="Times New Roman" w:hAnsi="Times New Roman" w:cs="Times New Roman"/>
        </w:rPr>
        <w:t>, vb.) bilgilendirme</w:t>
      </w:r>
      <w:r w:rsidR="00A6335A" w:rsidRPr="00291EA5">
        <w:rPr>
          <w:rFonts w:ascii="Times New Roman" w:hAnsi="Times New Roman" w:cs="Times New Roman"/>
        </w:rPr>
        <w:t>si ve ü</w:t>
      </w:r>
      <w:r w:rsidR="00FF401D" w:rsidRPr="00291EA5">
        <w:rPr>
          <w:rFonts w:ascii="Times New Roman" w:hAnsi="Times New Roman" w:cs="Times New Roman"/>
        </w:rPr>
        <w:t>niversitenin kariyer planlama etkinlikleri</w:t>
      </w:r>
      <w:r w:rsidR="00A6335A" w:rsidRPr="00291EA5">
        <w:rPr>
          <w:rFonts w:ascii="Times New Roman" w:hAnsi="Times New Roman" w:cs="Times New Roman"/>
        </w:rPr>
        <w:t>ne ilişkin konulardır.</w:t>
      </w:r>
    </w:p>
    <w:p w:rsidR="002D13D6" w:rsidRPr="00291EA5" w:rsidRDefault="00D01DE2" w:rsidP="00E9562A">
      <w:pPr>
        <w:ind w:firstLine="708"/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</w:rPr>
        <w:t xml:space="preserve">Uygulanan </w:t>
      </w:r>
      <w:r w:rsidR="00071429" w:rsidRPr="00291EA5">
        <w:rPr>
          <w:rFonts w:ascii="Times New Roman" w:hAnsi="Times New Roman" w:cs="Times New Roman"/>
        </w:rPr>
        <w:t>öğrenci</w:t>
      </w:r>
      <w:r w:rsidRPr="00291EA5">
        <w:rPr>
          <w:rFonts w:ascii="Times New Roman" w:hAnsi="Times New Roman" w:cs="Times New Roman"/>
        </w:rPr>
        <w:t xml:space="preserve"> memnuniyet anketinin </w:t>
      </w:r>
      <w:r w:rsidR="00071429" w:rsidRPr="00291EA5">
        <w:rPr>
          <w:rFonts w:ascii="Times New Roman" w:hAnsi="Times New Roman" w:cs="Times New Roman"/>
        </w:rPr>
        <w:t xml:space="preserve">genel memnuniyet oranı ise </w:t>
      </w:r>
      <w:proofErr w:type="gramStart"/>
      <w:r w:rsidR="00071429" w:rsidRPr="00291EA5">
        <w:rPr>
          <w:rFonts w:ascii="Times New Roman" w:hAnsi="Times New Roman" w:cs="Times New Roman"/>
        </w:rPr>
        <w:t>%</w:t>
      </w:r>
      <w:r w:rsidR="00E9562A" w:rsidRPr="00291EA5">
        <w:rPr>
          <w:rFonts w:ascii="Times New Roman" w:hAnsi="Times New Roman" w:cs="Times New Roman"/>
        </w:rPr>
        <w:t xml:space="preserve"> </w:t>
      </w:r>
      <w:r w:rsidR="00071429" w:rsidRPr="00291EA5">
        <w:rPr>
          <w:rFonts w:ascii="Times New Roman" w:hAnsi="Times New Roman" w:cs="Times New Roman"/>
        </w:rPr>
        <w:t>67</w:t>
      </w:r>
      <w:proofErr w:type="gramEnd"/>
      <w:r w:rsidR="002D13D6" w:rsidRPr="00291EA5">
        <w:rPr>
          <w:rFonts w:ascii="Times New Roman" w:hAnsi="Times New Roman" w:cs="Times New Roman"/>
        </w:rPr>
        <w:t xml:space="preserve"> olarak hesaplanmıştır</w:t>
      </w:r>
      <w:r w:rsidR="00B502B0" w:rsidRPr="00291EA5">
        <w:rPr>
          <w:rFonts w:ascii="Times New Roman" w:hAnsi="Times New Roman" w:cs="Times New Roman"/>
        </w:rPr>
        <w:t>.</w:t>
      </w:r>
      <w:r w:rsidRPr="00291EA5">
        <w:rPr>
          <w:rFonts w:ascii="Times New Roman" w:hAnsi="Times New Roman" w:cs="Times New Roman"/>
        </w:rPr>
        <w:t xml:space="preserve"> </w:t>
      </w:r>
    </w:p>
    <w:p w:rsidR="00AD53A3" w:rsidRPr="00291EA5" w:rsidRDefault="00AD53A3" w:rsidP="00CA000E">
      <w:pPr>
        <w:jc w:val="both"/>
        <w:rPr>
          <w:rFonts w:ascii="Times New Roman" w:hAnsi="Times New Roman" w:cs="Times New Roman"/>
        </w:rPr>
      </w:pPr>
    </w:p>
    <w:p w:rsidR="008C6ADF" w:rsidRPr="00291EA5" w:rsidRDefault="00DF3742" w:rsidP="00CA000E">
      <w:pPr>
        <w:jc w:val="both"/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33C4B3E3" wp14:editId="1C35EDC6">
            <wp:simplePos x="0" y="0"/>
            <wp:positionH relativeFrom="margin">
              <wp:posOffset>4311818</wp:posOffset>
            </wp:positionH>
            <wp:positionV relativeFrom="paragraph">
              <wp:posOffset>81825</wp:posOffset>
            </wp:positionV>
            <wp:extent cx="1924449" cy="733425"/>
            <wp:effectExtent l="0" t="0" r="6350" b="317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49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EA5">
        <w:rPr>
          <w:rFonts w:ascii="Times New Roman" w:hAnsi="Times New Roman" w:cs="Times New Roman"/>
          <w:noProof/>
        </w:rPr>
        <w:drawing>
          <wp:inline distT="0" distB="0" distL="0" distR="0" wp14:anchorId="47A09B2A" wp14:editId="73FDD5E9">
            <wp:extent cx="6298164" cy="2901820"/>
            <wp:effectExtent l="0" t="0" r="1270" b="0"/>
            <wp:docPr id="660779387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02B0" w:rsidRPr="00291EA5" w:rsidRDefault="00B502B0" w:rsidP="00134C6D">
      <w:pPr>
        <w:rPr>
          <w:rFonts w:ascii="Times New Roman" w:hAnsi="Times New Roman" w:cs="Times New Roman"/>
        </w:rPr>
      </w:pPr>
      <w:r w:rsidRPr="00291EA5">
        <w:rPr>
          <w:rFonts w:ascii="Times New Roman" w:hAnsi="Times New Roman" w:cs="Times New Roman"/>
          <w:b/>
        </w:rPr>
        <w:t>Şekil 1:</w:t>
      </w:r>
      <w:r w:rsidRPr="00291EA5">
        <w:rPr>
          <w:rFonts w:ascii="Times New Roman" w:hAnsi="Times New Roman" w:cs="Times New Roman"/>
        </w:rPr>
        <w:t xml:space="preserve"> </w:t>
      </w:r>
      <w:r w:rsidR="00E9562A" w:rsidRPr="00291EA5">
        <w:rPr>
          <w:rFonts w:ascii="Times New Roman" w:hAnsi="Times New Roman" w:cs="Times New Roman"/>
        </w:rPr>
        <w:t>Öğrenci</w:t>
      </w:r>
      <w:r w:rsidRPr="00291EA5">
        <w:rPr>
          <w:rFonts w:ascii="Times New Roman" w:hAnsi="Times New Roman" w:cs="Times New Roman"/>
        </w:rPr>
        <w:t xml:space="preserve"> genel memnuniyet oranı grafiği.</w:t>
      </w:r>
    </w:p>
    <w:sectPr w:rsidR="00B502B0" w:rsidRPr="00291EA5" w:rsidSect="00406C2F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974"/>
    <w:rsid w:val="00071429"/>
    <w:rsid w:val="00134C6D"/>
    <w:rsid w:val="001C4BAF"/>
    <w:rsid w:val="00255B94"/>
    <w:rsid w:val="00291EA5"/>
    <w:rsid w:val="002D13D6"/>
    <w:rsid w:val="00406C2F"/>
    <w:rsid w:val="005B1DD1"/>
    <w:rsid w:val="00610C62"/>
    <w:rsid w:val="00663610"/>
    <w:rsid w:val="00731B09"/>
    <w:rsid w:val="007E7851"/>
    <w:rsid w:val="00820974"/>
    <w:rsid w:val="008550C3"/>
    <w:rsid w:val="008C6ADF"/>
    <w:rsid w:val="009402DF"/>
    <w:rsid w:val="009B7C82"/>
    <w:rsid w:val="00A6335A"/>
    <w:rsid w:val="00AD53A3"/>
    <w:rsid w:val="00B12D3A"/>
    <w:rsid w:val="00B42F6C"/>
    <w:rsid w:val="00B502B0"/>
    <w:rsid w:val="00BA2F6B"/>
    <w:rsid w:val="00BC5B08"/>
    <w:rsid w:val="00C26570"/>
    <w:rsid w:val="00CA000E"/>
    <w:rsid w:val="00CC0C98"/>
    <w:rsid w:val="00CE7A2B"/>
    <w:rsid w:val="00D01DE2"/>
    <w:rsid w:val="00D41AF3"/>
    <w:rsid w:val="00D83427"/>
    <w:rsid w:val="00DF3742"/>
    <w:rsid w:val="00E9562A"/>
    <w:rsid w:val="00EE2AE8"/>
    <w:rsid w:val="00F324CB"/>
    <w:rsid w:val="00F52B15"/>
    <w:rsid w:val="00F7644E"/>
    <w:rsid w:val="00F8345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4EF5"/>
  <w15:chartTrackingRefBased/>
  <w15:docId w15:val="{3C20E186-237A-4681-9F80-20A4A10A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ezgisoyak/Desktop/2023%20haziran%20memnuniyet%20anketleri/TARIM%20MYO%20O&#776;G&#774;RENCI&#775;%20MEMNUNI&#775;YET%202023%20hazira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tr-TR"/>
              <a:t>Öğrenci</a:t>
            </a:r>
            <a:r>
              <a:rPr lang="tr-TR" baseline="0"/>
              <a:t> </a:t>
            </a:r>
          </a:p>
          <a:p>
            <a:pPr>
              <a:defRPr/>
            </a:pPr>
            <a:r>
              <a:rPr lang="en-US"/>
              <a:t>Memnuniyet Oranı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Sayfa2!$B$1</c:f>
              <c:strCache>
                <c:ptCount val="1"/>
                <c:pt idx="0">
                  <c:v>Soru Bazlı Memnuniyet Oranı</c:v>
                </c:pt>
              </c:strCache>
            </c:strRef>
          </c:tx>
          <c:spPr>
            <a:ln w="34925" cap="rnd">
              <a:solidFill>
                <a:schemeClr val="accent3">
                  <a:lumMod val="75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Sayfa2!$A$2:$A$17</c:f>
              <c:strCache>
                <c:ptCount val="16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</c:strCache>
            </c:strRef>
          </c:cat>
          <c:val>
            <c:numRef>
              <c:f>Sayfa2!$B$2:$B$17</c:f>
              <c:numCache>
                <c:formatCode>0%</c:formatCode>
                <c:ptCount val="16"/>
                <c:pt idx="0">
                  <c:v>0.70964187327823691</c:v>
                </c:pt>
                <c:pt idx="1">
                  <c:v>0.66648351648351645</c:v>
                </c:pt>
                <c:pt idx="2">
                  <c:v>0.72164383561643841</c:v>
                </c:pt>
                <c:pt idx="3">
                  <c:v>0.67458563535911598</c:v>
                </c:pt>
                <c:pt idx="4">
                  <c:v>0.68383561643835622</c:v>
                </c:pt>
                <c:pt idx="5">
                  <c:v>0.70274725274725269</c:v>
                </c:pt>
                <c:pt idx="6">
                  <c:v>0.65095890410958901</c:v>
                </c:pt>
                <c:pt idx="7">
                  <c:v>0.62739726027397258</c:v>
                </c:pt>
                <c:pt idx="8">
                  <c:v>0.63879781420765025</c:v>
                </c:pt>
                <c:pt idx="9">
                  <c:v>0.67802197802197806</c:v>
                </c:pt>
                <c:pt idx="10">
                  <c:v>0.65917808219178087</c:v>
                </c:pt>
                <c:pt idx="11">
                  <c:v>0.63890410958904109</c:v>
                </c:pt>
                <c:pt idx="12">
                  <c:v>0.63812154696132595</c:v>
                </c:pt>
                <c:pt idx="13">
                  <c:v>0.66336088154269968</c:v>
                </c:pt>
                <c:pt idx="14">
                  <c:v>0.6554016620498615</c:v>
                </c:pt>
                <c:pt idx="15">
                  <c:v>0.70192837465564739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E3-9A46-82A9-659D33019FD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80558687"/>
        <c:axId val="780557855"/>
      </c:lineChart>
      <c:catAx>
        <c:axId val="780558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80557855"/>
        <c:crosses val="autoZero"/>
        <c:auto val="1"/>
        <c:lblAlgn val="ctr"/>
        <c:lblOffset val="100"/>
        <c:noMultiLvlLbl val="0"/>
      </c:catAx>
      <c:valAx>
        <c:axId val="780557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80558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11453-46C4-4AA6-8D2C-2BB49FF8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EZGİ GÜNAY</cp:lastModifiedBy>
  <cp:revision>30</cp:revision>
  <dcterms:created xsi:type="dcterms:W3CDTF">2022-03-31T10:23:00Z</dcterms:created>
  <dcterms:modified xsi:type="dcterms:W3CDTF">2023-06-14T12:21:00Z</dcterms:modified>
</cp:coreProperties>
</file>