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6B1B4F">
            <w:pPr>
              <w:rPr>
                <w:rFonts w:ascii="Times New Roman" w:hAnsi="Times New Roman" w:cs="Times New Roman"/>
              </w:rPr>
            </w:pPr>
            <w:r>
              <w:rPr>
                <w:rFonts w:ascii="Times New Roman" w:hAnsi="Times New Roman" w:cs="Times New Roman"/>
              </w:rPr>
              <w:t xml:space="preserve">Eczacılık </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 xml:space="preserve">of. Dr., Doç.Dr. veya </w:t>
            </w:r>
            <w:r w:rsidRPr="00403ADD">
              <w:rPr>
                <w:rFonts w:ascii="Times New Roman" w:hAnsi="Times New Roman" w:cs="Times New Roman"/>
              </w:rPr>
              <w:t>Dr.</w:t>
            </w:r>
            <w:r w:rsidR="00D51AF6">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CA748C">
            <w:pPr>
              <w:rPr>
                <w:rFonts w:ascii="Times New Roman" w:hAnsi="Times New Roman" w:cs="Times New Roman"/>
              </w:rPr>
            </w:pPr>
            <w:r w:rsidRPr="00CA748C">
              <w:rPr>
                <w:rFonts w:ascii="Times New Roman" w:hAnsi="Times New Roman" w:cs="Times New Roman"/>
                <w:i/>
              </w:rPr>
              <w:t>Eczacılık</w:t>
            </w:r>
            <w:r>
              <w:rPr>
                <w:rFonts w:ascii="Times New Roman" w:hAnsi="Times New Roman" w:cs="Times New Roman"/>
              </w:rPr>
              <w:t xml:space="preserve"> </w:t>
            </w:r>
            <w:r w:rsidR="00403ADD" w:rsidRPr="00403ADD">
              <w:rPr>
                <w:rFonts w:ascii="Times New Roman" w:hAnsi="Times New Roman" w:cs="Times New Roman"/>
              </w:rPr>
              <w:t>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183DC6" w:rsidP="003F48DA">
            <w:pPr>
              <w:pStyle w:val="ListeParagraf"/>
              <w:jc w:val="both"/>
              <w:rPr>
                <w:rFonts w:ascii="Times New Roman" w:hAnsi="Times New Roman" w:cs="Times New Roman"/>
              </w:rPr>
            </w:pPr>
            <w:r w:rsidRPr="00183DC6">
              <w:rPr>
                <w:rFonts w:ascii="Times New Roman" w:hAnsi="Times New Roman" w:cs="Times New Roman"/>
              </w:rPr>
              <w:t>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3F48DA">
              <w:rPr>
                <w:rFonts w:ascii="Times New Roman" w:hAnsi="Times New Roman" w:cs="Times New Roman"/>
                <w:b/>
              </w:rPr>
              <w:t xml:space="preserve">  </w:t>
            </w:r>
            <w:r w:rsidRPr="00C23377">
              <w:rPr>
                <w:rFonts w:ascii="Times New Roman" w:hAnsi="Times New Roman" w:cs="Times New Roman"/>
                <w:b/>
              </w:rPr>
              <w:t>GÖREV/İŞ YETKİ VE SORUMLULUKLAR</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183DC6"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183DC6" w:rsidRDefault="00183DC6" w:rsidP="00183DC6">
            <w:pPr>
              <w:pStyle w:val="ListeParagraf"/>
              <w:jc w:val="both"/>
              <w:rPr>
                <w:rFonts w:ascii="Times New Roman" w:hAnsi="Times New Roman" w:cs="Times New Roman"/>
              </w:rPr>
            </w:pPr>
          </w:p>
          <w:p w:rsidR="00183DC6" w:rsidRPr="00183DC6" w:rsidRDefault="00183DC6" w:rsidP="00183DC6">
            <w:pPr>
              <w:pStyle w:val="ListeParagraf"/>
              <w:jc w:val="both"/>
              <w:rPr>
                <w:rFonts w:ascii="Times New Roman" w:hAnsi="Times New Roman" w:cs="Times New Roman"/>
              </w:rPr>
            </w:pPr>
            <w:r w:rsidRPr="00183DC6">
              <w:rPr>
                <w:rFonts w:ascii="Times New Roman" w:hAnsi="Times New Roman" w:cs="Times New Roman"/>
              </w:rPr>
              <w:lastRenderedPageBreak/>
              <w:t xml:space="preserve">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Teknik/Teknolojik/Fiziki altyapının planlanması, verimli kullanımı ve iyileştirilmesini sağlamak.</w:t>
            </w:r>
          </w:p>
          <w:p w:rsidR="00183DC6" w:rsidRPr="00A871F3" w:rsidRDefault="00183DC6" w:rsidP="00183DC6">
            <w:pPr>
              <w:pStyle w:val="ListeParagraf"/>
              <w:numPr>
                <w:ilvl w:val="0"/>
                <w:numId w:val="15"/>
              </w:numPr>
              <w:jc w:val="both"/>
              <w:rPr>
                <w:rFonts w:ascii="Times New Roman" w:hAnsi="Times New Roman" w:cs="Times New Roman"/>
              </w:rPr>
            </w:pPr>
            <w:r w:rsidRPr="00A871F3">
              <w:rPr>
                <w:rFonts w:ascii="Times New Roman" w:hAnsi="Times New Roman" w:cs="Times New Roman"/>
              </w:rPr>
              <w:t>Tahakkuk, taşınır kayıt ve kontrol, satın alma, bütçe ve ödenek durumlarının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3F48DA" w:rsidRDefault="00017C48" w:rsidP="003F48DA">
            <w:pPr>
              <w:ind w:left="720"/>
              <w:rPr>
                <w:rFonts w:ascii="Times New Roman" w:hAnsi="Times New Roman" w:cs="Times New Roman"/>
              </w:rPr>
            </w:pPr>
            <w:r w:rsidRPr="003F48DA">
              <w:rPr>
                <w:rFonts w:ascii="Times New Roman" w:hAnsi="Times New Roman" w:cs="Times New Roman"/>
              </w:rPr>
              <w:t xml:space="preserve">[  ] Fiziksel Çaba                   [  ] Zihinsel Çaba                [ </w:t>
            </w:r>
            <w:r w:rsidR="0044224A" w:rsidRPr="003F48DA">
              <w:rPr>
                <w:rFonts w:ascii="Times New Roman" w:hAnsi="Times New Roman" w:cs="Times New Roman"/>
              </w:rPr>
              <w:t>X</w:t>
            </w:r>
            <w:r w:rsidRPr="003F48DA">
              <w:rPr>
                <w:rFonts w:ascii="Times New Roman" w:hAnsi="Times New Roman" w:cs="Times New Roman"/>
              </w:rPr>
              <w:t xml:space="preserve"> ] Her İkisi</w:t>
            </w:r>
            <w:r w:rsidR="006B1B4F" w:rsidRPr="003F48DA">
              <w:rPr>
                <w:rFonts w:ascii="Times New Roman" w:hAnsi="Times New Roman" w:cs="Times New Roman"/>
              </w:rPr>
              <w:t xml:space="preserve"> </w:t>
            </w:r>
            <w:r w:rsidRPr="003F48DA">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3F48DA">
            <w:pPr>
              <w:ind w:left="720"/>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lastRenderedPageBreak/>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017C48" w:rsidP="00017C48">
            <w:pPr>
              <w:pStyle w:val="ListeParagraf"/>
              <w:jc w:val="center"/>
              <w:rPr>
                <w:rFonts w:ascii="Times New Roman" w:hAnsi="Times New Roman" w:cs="Times New Roman"/>
                <w:b/>
                <w:i/>
              </w:rPr>
            </w:pPr>
            <w:r w:rsidRPr="00C23377">
              <w:rPr>
                <w:rFonts w:ascii="Times New Roman" w:hAnsi="Times New Roman" w:cs="Times New Roman"/>
                <w:b/>
                <w:i/>
              </w:rPr>
              <w:t>Bu doku</w:t>
            </w:r>
            <w:r w:rsidR="001B36C8">
              <w:rPr>
                <w:rFonts w:ascii="Times New Roman" w:hAnsi="Times New Roman" w:cs="Times New Roman"/>
                <w:b/>
                <w:i/>
              </w:rPr>
              <w:t>ü</w:t>
            </w:r>
            <w:r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3F48DA" w:rsidRDefault="003F48DA" w:rsidP="003F48DA">
            <w:pPr>
              <w:pStyle w:val="ListeParagraf"/>
              <w:rPr>
                <w:rFonts w:ascii="Times New Roman" w:hAnsi="Times New Roman" w:cs="Times New Roman"/>
              </w:rPr>
            </w:pPr>
            <w:r>
              <w:rPr>
                <w:rFonts w:ascii="Times New Roman" w:hAnsi="Times New Roman" w:cs="Times New Roman"/>
              </w:rPr>
              <w:t>Adı ve Soyadı  :</w:t>
            </w:r>
          </w:p>
          <w:p w:rsidR="003F48DA" w:rsidRDefault="003F48DA" w:rsidP="003F48DA">
            <w:pPr>
              <w:pStyle w:val="ListeParagraf"/>
              <w:rPr>
                <w:rFonts w:ascii="Times New Roman" w:hAnsi="Times New Roman" w:cs="Times New Roman"/>
              </w:rPr>
            </w:pPr>
          </w:p>
          <w:p w:rsidR="003F48DA" w:rsidRDefault="003F48DA" w:rsidP="003F48D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F48DA" w:rsidRDefault="003F48DA" w:rsidP="003F48DA">
            <w:pPr>
              <w:pStyle w:val="ListeParagraf"/>
              <w:rPr>
                <w:rFonts w:ascii="Times New Roman" w:hAnsi="Times New Roman" w:cs="Times New Roman"/>
              </w:rPr>
            </w:pPr>
          </w:p>
          <w:p w:rsidR="00017C48" w:rsidRDefault="003F48DA" w:rsidP="003F48DA">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3F48DA" w:rsidRPr="00C23377" w:rsidRDefault="003F48DA" w:rsidP="003F48DA">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3F48DA" w:rsidRDefault="003F48DA" w:rsidP="003F48DA">
            <w:pPr>
              <w:pStyle w:val="ListeParagraf"/>
              <w:rPr>
                <w:rFonts w:ascii="Times New Roman" w:hAnsi="Times New Roman" w:cs="Times New Roman"/>
              </w:rPr>
            </w:pPr>
            <w:r>
              <w:rPr>
                <w:rFonts w:ascii="Times New Roman" w:hAnsi="Times New Roman" w:cs="Times New Roman"/>
              </w:rPr>
              <w:t>Adı ve Soyadı  :</w:t>
            </w:r>
          </w:p>
          <w:p w:rsidR="003F48DA" w:rsidRDefault="003F48DA" w:rsidP="003F48DA">
            <w:pPr>
              <w:pStyle w:val="ListeParagraf"/>
              <w:rPr>
                <w:rFonts w:ascii="Times New Roman" w:hAnsi="Times New Roman" w:cs="Times New Roman"/>
              </w:rPr>
            </w:pPr>
          </w:p>
          <w:p w:rsidR="003F48DA" w:rsidRDefault="003F48DA" w:rsidP="003F48D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F48DA" w:rsidRDefault="003F48DA" w:rsidP="003F48DA">
            <w:pPr>
              <w:pStyle w:val="ListeParagraf"/>
              <w:rPr>
                <w:rFonts w:ascii="Times New Roman" w:hAnsi="Times New Roman" w:cs="Times New Roman"/>
              </w:rPr>
            </w:pPr>
          </w:p>
          <w:p w:rsidR="00E67A00" w:rsidRDefault="003F48DA" w:rsidP="003F48DA">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3F48DA" w:rsidRPr="00C23377" w:rsidRDefault="003F48DA" w:rsidP="003F48DA">
            <w:pPr>
              <w:pStyle w:val="ListeParagraf"/>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7D" w:rsidRDefault="0055197D" w:rsidP="00D4376A">
      <w:pPr>
        <w:spacing w:after="0" w:line="240" w:lineRule="auto"/>
      </w:pPr>
      <w:r>
        <w:separator/>
      </w:r>
    </w:p>
  </w:endnote>
  <w:endnote w:type="continuationSeparator" w:id="0">
    <w:p w:rsidR="0055197D" w:rsidRDefault="0055197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55" w:rsidRDefault="00AB4B5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579F2"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1575D0"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1575D0"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1575D0"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1575D0"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1575D0"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1575D0"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55" w:rsidRDefault="00AB4B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7D" w:rsidRDefault="0055197D" w:rsidP="00D4376A">
      <w:pPr>
        <w:spacing w:after="0" w:line="240" w:lineRule="auto"/>
      </w:pPr>
      <w:r>
        <w:separator/>
      </w:r>
    </w:p>
  </w:footnote>
  <w:footnote w:type="continuationSeparator" w:id="0">
    <w:p w:rsidR="0055197D" w:rsidRDefault="0055197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55" w:rsidRDefault="00AB4B5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5441"/>
      <w:gridCol w:w="1702"/>
      <w:gridCol w:w="1416"/>
    </w:tblGrid>
    <w:tr w:rsidR="00D4376A" w:rsidTr="003F48DA">
      <w:trPr>
        <w:cantSplit/>
        <w:trHeight w:val="300"/>
      </w:trPr>
      <w:tc>
        <w:tcPr>
          <w:tcW w:w="666" w:type="pct"/>
          <w:vMerge w:val="restart"/>
          <w:vAlign w:val="center"/>
          <w:hideMark/>
        </w:tcPr>
        <w:p w:rsidR="00D4376A" w:rsidRDefault="00AB4B55" w:rsidP="00D4376A">
          <w:pPr>
            <w:pStyle w:val="stBilgi"/>
            <w:jc w:val="center"/>
            <w:rPr>
              <w:rFonts w:ascii="Century Gothic" w:hAnsi="Century Gothic"/>
            </w:rPr>
          </w:pPr>
          <w:r>
            <w:rPr>
              <w:noProof/>
              <w:lang w:eastAsia="tr-TR"/>
            </w:rPr>
            <w:drawing>
              <wp:inline distT="0" distB="0" distL="0" distR="0" wp14:anchorId="1E4B38F4" wp14:editId="46D49A3E">
                <wp:extent cx="746760" cy="73025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30250"/>
                        </a:xfrm>
                        <a:prstGeom prst="rect">
                          <a:avLst/>
                        </a:prstGeom>
                        <a:noFill/>
                        <a:ln>
                          <a:noFill/>
                        </a:ln>
                      </pic:spPr>
                    </pic:pic>
                  </a:graphicData>
                </a:graphic>
              </wp:inline>
            </w:drawing>
          </w:r>
        </w:p>
      </w:tc>
      <w:tc>
        <w:tcPr>
          <w:tcW w:w="2754" w:type="pct"/>
          <w:vMerge w:val="restart"/>
          <w:vAlign w:val="center"/>
          <w:hideMark/>
        </w:tcPr>
        <w:p w:rsidR="00D4376A" w:rsidRPr="003F48DA" w:rsidRDefault="00D4376A" w:rsidP="00D4376A">
          <w:pPr>
            <w:pStyle w:val="stBilgi"/>
            <w:jc w:val="center"/>
            <w:rPr>
              <w:rFonts w:ascii="Times New Roman" w:hAnsi="Times New Roman" w:cs="Times New Roman"/>
              <w:b/>
              <w:sz w:val="30"/>
              <w:szCs w:val="30"/>
            </w:rPr>
          </w:pPr>
          <w:r w:rsidRPr="003F48DA">
            <w:rPr>
              <w:rFonts w:ascii="Times New Roman" w:hAnsi="Times New Roman" w:cs="Times New Roman"/>
              <w:b/>
              <w:sz w:val="30"/>
              <w:szCs w:val="30"/>
            </w:rPr>
            <w:t>DİCLE ÜNİVERSİTESİ</w:t>
          </w:r>
        </w:p>
        <w:p w:rsidR="002F2A17" w:rsidRPr="003F48DA" w:rsidRDefault="006B1B4F" w:rsidP="00D4376A">
          <w:pPr>
            <w:pStyle w:val="stBilgi"/>
            <w:jc w:val="center"/>
            <w:rPr>
              <w:rFonts w:ascii="Times New Roman" w:hAnsi="Times New Roman" w:cs="Times New Roman"/>
              <w:b/>
              <w:sz w:val="30"/>
              <w:szCs w:val="30"/>
            </w:rPr>
          </w:pPr>
          <w:r w:rsidRPr="003F48DA">
            <w:rPr>
              <w:rFonts w:ascii="Times New Roman" w:hAnsi="Times New Roman" w:cs="Times New Roman"/>
              <w:b/>
              <w:sz w:val="30"/>
              <w:szCs w:val="30"/>
            </w:rPr>
            <w:t xml:space="preserve">ECZACILIK </w:t>
          </w:r>
          <w:r w:rsidR="005E6790" w:rsidRPr="003F48DA">
            <w:rPr>
              <w:rFonts w:ascii="Times New Roman" w:hAnsi="Times New Roman" w:cs="Times New Roman"/>
              <w:b/>
              <w:sz w:val="30"/>
              <w:szCs w:val="30"/>
            </w:rPr>
            <w:t xml:space="preserve">FAKÜLTESİ </w:t>
          </w:r>
        </w:p>
        <w:p w:rsidR="003F48DA" w:rsidRDefault="00D4376A" w:rsidP="00D4376A">
          <w:pPr>
            <w:pStyle w:val="stBilgi"/>
            <w:jc w:val="center"/>
            <w:rPr>
              <w:rFonts w:ascii="Times New Roman" w:hAnsi="Times New Roman" w:cs="Times New Roman"/>
              <w:b/>
              <w:sz w:val="30"/>
              <w:szCs w:val="30"/>
            </w:rPr>
          </w:pPr>
          <w:r w:rsidRPr="003F48DA">
            <w:rPr>
              <w:rFonts w:ascii="Times New Roman" w:hAnsi="Times New Roman" w:cs="Times New Roman"/>
              <w:b/>
              <w:sz w:val="30"/>
              <w:szCs w:val="30"/>
            </w:rPr>
            <w:t xml:space="preserve"> </w:t>
          </w:r>
          <w:r w:rsidR="005E6790" w:rsidRPr="003F48DA">
            <w:rPr>
              <w:rFonts w:ascii="Times New Roman" w:hAnsi="Times New Roman" w:cs="Times New Roman"/>
              <w:b/>
              <w:sz w:val="30"/>
              <w:szCs w:val="30"/>
            </w:rPr>
            <w:t xml:space="preserve">DEKAN YARDIMCISI </w:t>
          </w:r>
        </w:p>
        <w:p w:rsidR="00D4376A" w:rsidRDefault="00D4376A" w:rsidP="00D4376A">
          <w:pPr>
            <w:pStyle w:val="stBilgi"/>
            <w:jc w:val="center"/>
            <w:rPr>
              <w:rFonts w:ascii="Tahoma" w:hAnsi="Tahoma" w:cs="Tahoma"/>
              <w:b/>
              <w:bCs/>
              <w:sz w:val="40"/>
              <w:szCs w:val="40"/>
            </w:rPr>
          </w:pPr>
          <w:r w:rsidRPr="003F48DA">
            <w:rPr>
              <w:rFonts w:ascii="Times New Roman" w:hAnsi="Times New Roman" w:cs="Times New Roman"/>
              <w:b/>
              <w:sz w:val="30"/>
              <w:szCs w:val="30"/>
            </w:rPr>
            <w:t>GÖREV TANIMI</w:t>
          </w:r>
          <w:r>
            <w:rPr>
              <w:rFonts w:ascii="Tahoma" w:hAnsi="Tahoma" w:cs="Tahoma"/>
              <w:b/>
              <w:bCs/>
              <w:sz w:val="40"/>
              <w:szCs w:val="40"/>
            </w:rPr>
            <w:t xml:space="preserve"> </w:t>
          </w: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17" w:type="pct"/>
          <w:vAlign w:val="center"/>
          <w:hideMark/>
        </w:tcPr>
        <w:p w:rsidR="00D4376A" w:rsidRPr="002F2A17" w:rsidRDefault="003F48DA"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3F48DA">
      <w:trPr>
        <w:cantSplit/>
        <w:trHeight w:val="300"/>
      </w:trPr>
      <w:tc>
        <w:tcPr>
          <w:tcW w:w="666" w:type="pct"/>
          <w:vMerge/>
          <w:vAlign w:val="center"/>
          <w:hideMark/>
        </w:tcPr>
        <w:p w:rsidR="00D4376A" w:rsidRDefault="00D4376A" w:rsidP="00D4376A">
          <w:pPr>
            <w:rPr>
              <w:rFonts w:ascii="Century Gothic" w:hAnsi="Century Gothic"/>
            </w:rPr>
          </w:pPr>
        </w:p>
      </w:tc>
      <w:tc>
        <w:tcPr>
          <w:tcW w:w="2754"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17" w:type="pct"/>
          <w:vAlign w:val="center"/>
          <w:hideMark/>
        </w:tcPr>
        <w:p w:rsidR="00D4376A" w:rsidRPr="002F2A17" w:rsidRDefault="003F48DA"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3F48DA">
      <w:trPr>
        <w:cantSplit/>
        <w:trHeight w:val="300"/>
      </w:trPr>
      <w:tc>
        <w:tcPr>
          <w:tcW w:w="666" w:type="pct"/>
          <w:vMerge/>
          <w:vAlign w:val="center"/>
          <w:hideMark/>
        </w:tcPr>
        <w:p w:rsidR="00D4376A" w:rsidRDefault="00D4376A" w:rsidP="00D4376A">
          <w:pPr>
            <w:rPr>
              <w:rFonts w:ascii="Century Gothic" w:hAnsi="Century Gothic"/>
            </w:rPr>
          </w:pPr>
        </w:p>
      </w:tc>
      <w:tc>
        <w:tcPr>
          <w:tcW w:w="2754"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17" w:type="pct"/>
          <w:vAlign w:val="center"/>
        </w:tcPr>
        <w:p w:rsidR="00D4376A" w:rsidRPr="002F2A17" w:rsidRDefault="00AB4B55"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3F48DA">
      <w:trPr>
        <w:cantSplit/>
        <w:trHeight w:val="300"/>
      </w:trPr>
      <w:tc>
        <w:tcPr>
          <w:tcW w:w="666" w:type="pct"/>
          <w:vMerge/>
          <w:vAlign w:val="center"/>
          <w:hideMark/>
        </w:tcPr>
        <w:p w:rsidR="00D4376A" w:rsidRDefault="00D4376A" w:rsidP="00D4376A">
          <w:pPr>
            <w:rPr>
              <w:rFonts w:ascii="Century Gothic" w:hAnsi="Century Gothic"/>
            </w:rPr>
          </w:pPr>
        </w:p>
      </w:tc>
      <w:tc>
        <w:tcPr>
          <w:tcW w:w="2754"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1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F48DA">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55" w:rsidRDefault="00AB4B5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4B87"/>
    <w:rsid w:val="00061F18"/>
    <w:rsid w:val="000628D2"/>
    <w:rsid w:val="000C30AB"/>
    <w:rsid w:val="000E58F2"/>
    <w:rsid w:val="000F0C4A"/>
    <w:rsid w:val="001575D0"/>
    <w:rsid w:val="00165EFA"/>
    <w:rsid w:val="001808C6"/>
    <w:rsid w:val="00183DC6"/>
    <w:rsid w:val="00187A69"/>
    <w:rsid w:val="001B36C8"/>
    <w:rsid w:val="001E74F5"/>
    <w:rsid w:val="002305DB"/>
    <w:rsid w:val="002F01DE"/>
    <w:rsid w:val="002F2A17"/>
    <w:rsid w:val="00333CA3"/>
    <w:rsid w:val="00366BB5"/>
    <w:rsid w:val="003F48DA"/>
    <w:rsid w:val="00403ADD"/>
    <w:rsid w:val="00422B85"/>
    <w:rsid w:val="0044224A"/>
    <w:rsid w:val="004423D5"/>
    <w:rsid w:val="00443147"/>
    <w:rsid w:val="00455A8D"/>
    <w:rsid w:val="00474DFB"/>
    <w:rsid w:val="00475E07"/>
    <w:rsid w:val="004B5AE8"/>
    <w:rsid w:val="004C48B7"/>
    <w:rsid w:val="004C5513"/>
    <w:rsid w:val="00526A0F"/>
    <w:rsid w:val="0055197D"/>
    <w:rsid w:val="00556536"/>
    <w:rsid w:val="005E6790"/>
    <w:rsid w:val="005F644E"/>
    <w:rsid w:val="006026BD"/>
    <w:rsid w:val="00674B81"/>
    <w:rsid w:val="00686C05"/>
    <w:rsid w:val="006B1B4F"/>
    <w:rsid w:val="00762837"/>
    <w:rsid w:val="00834D02"/>
    <w:rsid w:val="008A54F3"/>
    <w:rsid w:val="008C449B"/>
    <w:rsid w:val="00927A3A"/>
    <w:rsid w:val="00953311"/>
    <w:rsid w:val="0099301B"/>
    <w:rsid w:val="00A0008C"/>
    <w:rsid w:val="00A05AA5"/>
    <w:rsid w:val="00A64ED7"/>
    <w:rsid w:val="00A871F3"/>
    <w:rsid w:val="00AB4B55"/>
    <w:rsid w:val="00AD6558"/>
    <w:rsid w:val="00B02924"/>
    <w:rsid w:val="00B07C9F"/>
    <w:rsid w:val="00B40514"/>
    <w:rsid w:val="00BD5281"/>
    <w:rsid w:val="00BE560F"/>
    <w:rsid w:val="00BF0D3B"/>
    <w:rsid w:val="00C23377"/>
    <w:rsid w:val="00CA748C"/>
    <w:rsid w:val="00D04C9B"/>
    <w:rsid w:val="00D11501"/>
    <w:rsid w:val="00D4376A"/>
    <w:rsid w:val="00D51AF6"/>
    <w:rsid w:val="00D579F2"/>
    <w:rsid w:val="00E25BF1"/>
    <w:rsid w:val="00E67A00"/>
    <w:rsid w:val="00EE1ACA"/>
    <w:rsid w:val="00EF1B90"/>
    <w:rsid w:val="00EF7EA9"/>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DFC1E"/>
  <w15:docId w15:val="{FA1D0D9B-5C75-45D7-BBB8-B2E485A7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B1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43353">
      <w:bodyDiv w:val="1"/>
      <w:marLeft w:val="0"/>
      <w:marRight w:val="0"/>
      <w:marTop w:val="0"/>
      <w:marBottom w:val="0"/>
      <w:divBdr>
        <w:top w:val="none" w:sz="0" w:space="0" w:color="auto"/>
        <w:left w:val="none" w:sz="0" w:space="0" w:color="auto"/>
        <w:bottom w:val="none" w:sz="0" w:space="0" w:color="auto"/>
        <w:right w:val="none" w:sz="0" w:space="0" w:color="auto"/>
      </w:divBdr>
    </w:div>
    <w:div w:id="17664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5987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cp:lastPrinted>2019-11-11T12:10:00Z</cp:lastPrinted>
  <dcterms:created xsi:type="dcterms:W3CDTF">2018-11-12T05:48:00Z</dcterms:created>
  <dcterms:modified xsi:type="dcterms:W3CDTF">2022-04-01T10:40:00Z</dcterms:modified>
</cp:coreProperties>
</file>