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27" w:rsidRPr="00947A27" w:rsidRDefault="00947A27" w:rsidP="00A94B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TIP FAKÜLTESİ DEKANLIĞI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Öğrenci Memnuniyet Anketi</w:t>
      </w:r>
    </w:p>
    <w:p w:rsidR="00C66790" w:rsidRDefault="00B86E31">
      <w:r>
        <w:rPr>
          <w:rFonts w:ascii="Times New Roman" w:hAnsi="Times New Roman" w:cs="Times New Roman"/>
        </w:rPr>
        <w:t xml:space="preserve">       </w:t>
      </w:r>
      <w:r w:rsidR="000F4DCF">
        <w:rPr>
          <w:rFonts w:ascii="Times New Roman" w:hAnsi="Times New Roman" w:cs="Times New Roman"/>
        </w:rPr>
        <w:t>08.05.2023</w:t>
      </w:r>
      <w:r w:rsidR="000F4DCF" w:rsidRPr="009251D0">
        <w:rPr>
          <w:rFonts w:ascii="Times New Roman" w:hAnsi="Times New Roman" w:cs="Times New Roman"/>
        </w:rPr>
        <w:t xml:space="preserve"> İle </w:t>
      </w:r>
      <w:r w:rsidR="000F4DCF">
        <w:rPr>
          <w:rFonts w:ascii="Times New Roman" w:hAnsi="Times New Roman" w:cs="Times New Roman"/>
        </w:rPr>
        <w:t>09.06.2023 T</w:t>
      </w:r>
      <w:r w:rsidR="00947A27">
        <w:rPr>
          <w:rFonts w:ascii="Times New Roman" w:hAnsi="Times New Roman" w:cs="Times New Roman"/>
        </w:rPr>
        <w:t xml:space="preserve">arihleri arasında OBS </w:t>
      </w:r>
      <w:proofErr w:type="spellStart"/>
      <w:r w:rsidR="00947A27">
        <w:rPr>
          <w:rFonts w:ascii="Times New Roman" w:hAnsi="Times New Roman" w:cs="Times New Roman"/>
        </w:rPr>
        <w:t>Proliz</w:t>
      </w:r>
      <w:proofErr w:type="spellEnd"/>
      <w:r w:rsidR="00947A27">
        <w:rPr>
          <w:rFonts w:ascii="Times New Roman" w:hAnsi="Times New Roman" w:cs="Times New Roman"/>
        </w:rPr>
        <w:t xml:space="preserve"> Sistemi üzerinden Öğrenci Memnuniyet anketi uygulanmıştır. Toplamda 16 sorudan oluşan ankette, her soru için 5 ayrı cevap seçeneği bulunmaktadır. Anketi cevaplayan </w:t>
      </w:r>
      <w:r w:rsidR="000F4DCF">
        <w:rPr>
          <w:rFonts w:ascii="Times New Roman" w:hAnsi="Times New Roman" w:cs="Times New Roman"/>
        </w:rPr>
        <w:t>951</w:t>
      </w:r>
      <w:r w:rsidR="00947A27">
        <w:rPr>
          <w:rFonts w:ascii="Times New Roman" w:hAnsi="Times New Roman" w:cs="Times New Roman"/>
        </w:rPr>
        <w:t xml:space="preserve"> kişinin soruların cevap şıklarından herhangi birini işaretlemesi zorunlu kılınmıştır. Bu sayede anketi cevaplayanların herhangi bir soruda boş cevap vermesi engellenmiştir yapılan anket sonucu </w:t>
      </w:r>
      <w:r w:rsidR="00947A27">
        <w:rPr>
          <w:rFonts w:ascii="Times New Roman" w:hAnsi="Times New Roman" w:cs="Times New Roman"/>
          <w:b/>
        </w:rPr>
        <w:t xml:space="preserve">genel memnuniyet oranı  </w:t>
      </w:r>
      <w:r w:rsidR="00947A2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%</w:t>
      </w:r>
      <w:r w:rsidR="00947A27">
        <w:rPr>
          <w:rFonts w:ascii="Times New Roman" w:hAnsi="Times New Roman" w:cs="Times New Roman"/>
          <w:b/>
        </w:rPr>
        <w:t>57</w:t>
      </w:r>
      <w:r w:rsidR="007E3B87">
        <w:rPr>
          <w:rFonts w:ascii="Times New Roman" w:hAnsi="Times New Roman" w:cs="Times New Roman"/>
          <w:b/>
        </w:rPr>
        <w:t>,71</w:t>
      </w:r>
      <w:r w:rsidR="00947A27">
        <w:rPr>
          <w:rFonts w:ascii="Times New Roman" w:hAnsi="Times New Roman" w:cs="Times New Roman"/>
          <w:b/>
        </w:rPr>
        <w:t xml:space="preserve"> olduğu görülmüştür.</w:t>
      </w:r>
    </w:p>
    <w:p w:rsidR="00C66790" w:rsidRDefault="00C66790" w:rsidP="00C66790">
      <w:r w:rsidRPr="00C66790">
        <w:rPr>
          <w:noProof/>
        </w:rPr>
        <w:drawing>
          <wp:inline distT="0" distB="0" distL="0" distR="0">
            <wp:extent cx="5438667" cy="1587261"/>
            <wp:effectExtent l="19050" t="0" r="9633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tab/>
      </w:r>
      <w:r w:rsidRPr="00C66790">
        <w:rPr>
          <w:noProof/>
        </w:rPr>
        <w:drawing>
          <wp:inline distT="0" distB="0" distL="0" distR="0">
            <wp:extent cx="5436762" cy="2260121"/>
            <wp:effectExtent l="19050" t="0" r="11538" b="6829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ab/>
      </w:r>
      <w:r w:rsidRPr="00C66790">
        <w:rPr>
          <w:noProof/>
        </w:rPr>
        <w:drawing>
          <wp:inline distT="0" distB="0" distL="0" distR="0">
            <wp:extent cx="5440572" cy="2725312"/>
            <wp:effectExtent l="19050" t="0" r="26778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790" w:rsidRPr="00C66790" w:rsidRDefault="00C66790" w:rsidP="00C66790">
      <w:r w:rsidRPr="00C66790">
        <w:rPr>
          <w:noProof/>
        </w:rPr>
        <w:lastRenderedPageBreak/>
        <w:drawing>
          <wp:inline distT="0" distB="0" distL="0" distR="0">
            <wp:extent cx="5757845" cy="8729932"/>
            <wp:effectExtent l="19050" t="0" r="14305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C66790" w:rsidRPr="00C66790" w:rsidSect="0011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66790"/>
    <w:rsid w:val="000F4DCF"/>
    <w:rsid w:val="00115E01"/>
    <w:rsid w:val="007E3B87"/>
    <w:rsid w:val="00947A27"/>
    <w:rsid w:val="00A94B6B"/>
    <w:rsid w:val="00B86E31"/>
    <w:rsid w:val="00C6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6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0.06.2023%20Tarihli%20&#246;&#287;renci%20memnuniyet%20anket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0.06.2023%20Tarihli%20&#246;&#287;renci%20memnuniyet%20anket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0.06.2023%20Tarihli%20&#246;&#287;renci%20memnuniyet%20anket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0.06.2023%20Tarihli%20&#246;&#287;renci%20memnuniyet%20anket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/>
    <c:plotArea>
      <c:layout>
        <c:manualLayout>
          <c:layoutTarget val="inner"/>
          <c:xMode val="edge"/>
          <c:yMode val="edge"/>
          <c:x val="0.27665657779746433"/>
          <c:y val="0.2903435540846781"/>
          <c:w val="0.67440495989182669"/>
          <c:h val="0.48977641358289548"/>
        </c:manualLayout>
      </c:layout>
      <c:barChart>
        <c:barDir val="bar"/>
        <c:grouping val="stacked"/>
        <c:ser>
          <c:idx val="0"/>
          <c:order val="0"/>
          <c:tx>
            <c:strRef>
              <c:f>'Page 1'!$Z$1</c:f>
              <c:strCache>
                <c:ptCount val="1"/>
                <c:pt idx="0">
                  <c:v>Genel Memnuniyet Oranı</c:v>
                </c:pt>
              </c:strCache>
            </c:strRef>
          </c:tx>
          <c:dLbls>
            <c:showVal val="1"/>
          </c:dLbls>
          <c:cat>
            <c:strRef>
              <c:f>'Page 1'!$Y$2:$Y$3</c:f>
              <c:strCache>
                <c:ptCount val="2"/>
                <c:pt idx="0">
                  <c:v>Genel Memnuniyet Oranı 57,71</c:v>
                </c:pt>
                <c:pt idx="1">
                  <c:v>Katılım Sayısı : 951</c:v>
                </c:pt>
              </c:strCache>
            </c:strRef>
          </c:cat>
          <c:val>
            <c:numRef>
              <c:f>'Page 1'!$Z$2:$Z$3</c:f>
              <c:numCache>
                <c:formatCode>General</c:formatCode>
                <c:ptCount val="2"/>
                <c:pt idx="0" formatCode="0.00%">
                  <c:v>0.57712153842823499</c:v>
                </c:pt>
              </c:numCache>
            </c:numRef>
          </c:val>
        </c:ser>
        <c:overlap val="100"/>
        <c:axId val="97793536"/>
        <c:axId val="97795072"/>
      </c:barChart>
      <c:catAx>
        <c:axId val="97793536"/>
        <c:scaling>
          <c:orientation val="minMax"/>
        </c:scaling>
        <c:axPos val="l"/>
        <c:tickLblPos val="nextTo"/>
        <c:crossAx val="97795072"/>
        <c:crosses val="autoZero"/>
        <c:auto val="1"/>
        <c:lblAlgn val="ctr"/>
        <c:lblOffset val="100"/>
      </c:catAx>
      <c:valAx>
        <c:axId val="97795072"/>
        <c:scaling>
          <c:orientation val="minMax"/>
        </c:scaling>
        <c:axPos val="b"/>
        <c:majorGridlines/>
        <c:numFmt formatCode="0.00%" sourceLinked="1"/>
        <c:tickLblPos val="nextTo"/>
        <c:crossAx val="97793536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'Page 1'!$Z$4</c:f>
              <c:strCache>
                <c:ptCount val="1"/>
                <c:pt idx="0">
                  <c:v>Genel Memnuniyet Oranı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tr-TR"/>
              </a:p>
            </c:txPr>
            <c:showVal val="1"/>
          </c:dLbls>
          <c:cat>
            <c:strRef>
              <c:f>'Page 1'!$Y$5:$Y$9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'Page 1'!$Z$5:$Z$9</c:f>
              <c:numCache>
                <c:formatCode>_-* #,##0.00\ _₺_-;\-* #,##0.00\ _₺_-;_-* "-"??\ _₺_-;_-@_-</c:formatCode>
                <c:ptCount val="5"/>
                <c:pt idx="0">
                  <c:v>12.010304493130338</c:v>
                </c:pt>
                <c:pt idx="1">
                  <c:v>26.884515410323051</c:v>
                </c:pt>
                <c:pt idx="2">
                  <c:v>45.479019680653522</c:v>
                </c:pt>
                <c:pt idx="3">
                  <c:v>12.551058299294469</c:v>
                </c:pt>
                <c:pt idx="4">
                  <c:v>4.6393427404381775</c:v>
                </c:pt>
              </c:numCache>
            </c:numRef>
          </c:val>
        </c:ser>
        <c:axId val="97841152"/>
        <c:axId val="97842688"/>
      </c:barChart>
      <c:catAx>
        <c:axId val="97841152"/>
        <c:scaling>
          <c:orientation val="minMax"/>
        </c:scaling>
        <c:axPos val="b"/>
        <c:tickLblPos val="nextTo"/>
        <c:crossAx val="97842688"/>
        <c:crosses val="autoZero"/>
        <c:auto val="1"/>
        <c:lblAlgn val="ctr"/>
        <c:lblOffset val="100"/>
      </c:catAx>
      <c:valAx>
        <c:axId val="97842688"/>
        <c:scaling>
          <c:orientation val="minMax"/>
        </c:scaling>
        <c:axPos val="l"/>
        <c:majorGridlines/>
        <c:numFmt formatCode="_-* #,##0.00\ _₺_-;\-* #,##0.00\ _₺_-;_-* &quot;-&quot;??\ _₺_-;_-@_-" sourceLinked="1"/>
        <c:tickLblPos val="nextTo"/>
        <c:crossAx val="97841152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/>
    <c:plotArea>
      <c:layout>
        <c:manualLayout>
          <c:layoutTarget val="inner"/>
          <c:xMode val="edge"/>
          <c:yMode val="edge"/>
          <c:x val="0.10367751976797807"/>
          <c:y val="0.22888870445802056"/>
          <c:w val="0.86596369898170955"/>
          <c:h val="0.56270482231228414"/>
        </c:manualLayout>
      </c:layout>
      <c:lineChart>
        <c:grouping val="standard"/>
        <c:ser>
          <c:idx val="0"/>
          <c:order val="0"/>
          <c:tx>
            <c:strRef>
              <c:f>'Page 1'!$AF$19</c:f>
              <c:strCache>
                <c:ptCount val="1"/>
                <c:pt idx="0">
                  <c:v>Soru Bazlı Memnuniyet Oranı </c:v>
                </c:pt>
              </c:strCache>
            </c:strRef>
          </c:tx>
          <c:dLbls>
            <c:dLblPos val="t"/>
            <c:showVal val="1"/>
          </c:dLbls>
          <c:cat>
            <c:strRef>
              <c:f>'Page 1'!$AE$20:$AE$35</c:f>
              <c:strCache>
                <c:ptCount val="16"/>
                <c:pt idx="0">
                  <c:v>Soru 1</c:v>
                </c:pt>
                <c:pt idx="1">
                  <c:v>Soru 2</c:v>
                </c:pt>
                <c:pt idx="2">
                  <c:v>Soru 3</c:v>
                </c:pt>
                <c:pt idx="3">
                  <c:v>Soru 4</c:v>
                </c:pt>
                <c:pt idx="4">
                  <c:v>Soru 5</c:v>
                </c:pt>
                <c:pt idx="5">
                  <c:v>Soru 6</c:v>
                </c:pt>
                <c:pt idx="6">
                  <c:v>Soru 7</c:v>
                </c:pt>
                <c:pt idx="7">
                  <c:v>Soru 8</c:v>
                </c:pt>
                <c:pt idx="8">
                  <c:v>Soru 9</c:v>
                </c:pt>
                <c:pt idx="9">
                  <c:v>Soru 10</c:v>
                </c:pt>
                <c:pt idx="10">
                  <c:v>Soru 11</c:v>
                </c:pt>
                <c:pt idx="11">
                  <c:v>Soru 12</c:v>
                </c:pt>
                <c:pt idx="12">
                  <c:v>Soru 13</c:v>
                </c:pt>
                <c:pt idx="13">
                  <c:v>Soru 14</c:v>
                </c:pt>
                <c:pt idx="14">
                  <c:v>Soru 15</c:v>
                </c:pt>
                <c:pt idx="15">
                  <c:v>Soru 16</c:v>
                </c:pt>
              </c:strCache>
            </c:strRef>
          </c:cat>
          <c:val>
            <c:numRef>
              <c:f>'Page 1'!$AF$20:$AF$35</c:f>
              <c:numCache>
                <c:formatCode>0%</c:formatCode>
                <c:ptCount val="16"/>
                <c:pt idx="0">
                  <c:v>0.6269473684210527</c:v>
                </c:pt>
                <c:pt idx="1">
                  <c:v>0.60336842105263122</c:v>
                </c:pt>
                <c:pt idx="2">
                  <c:v>0.57763713080168777</c:v>
                </c:pt>
                <c:pt idx="3">
                  <c:v>0.58778947368421064</c:v>
                </c:pt>
                <c:pt idx="4">
                  <c:v>0.54704641350211003</c:v>
                </c:pt>
                <c:pt idx="5">
                  <c:v>0.59663512092534143</c:v>
                </c:pt>
                <c:pt idx="6">
                  <c:v>0.60147058823529409</c:v>
                </c:pt>
                <c:pt idx="7">
                  <c:v>0.52962184873949614</c:v>
                </c:pt>
                <c:pt idx="8">
                  <c:v>0.5270811380400422</c:v>
                </c:pt>
                <c:pt idx="9">
                  <c:v>0.59768421052631582</c:v>
                </c:pt>
                <c:pt idx="10">
                  <c:v>0.5863157894736839</c:v>
                </c:pt>
                <c:pt idx="11">
                  <c:v>0.5389006342494721</c:v>
                </c:pt>
                <c:pt idx="12">
                  <c:v>0.54957805907172996</c:v>
                </c:pt>
                <c:pt idx="13">
                  <c:v>0.57315010570824487</c:v>
                </c:pt>
                <c:pt idx="14">
                  <c:v>0.57191489361702164</c:v>
                </c:pt>
                <c:pt idx="15">
                  <c:v>0.61880341880341916</c:v>
                </c:pt>
              </c:numCache>
            </c:numRef>
          </c:val>
        </c:ser>
        <c:marker val="1"/>
        <c:axId val="97665024"/>
        <c:axId val="97666560"/>
      </c:lineChart>
      <c:catAx>
        <c:axId val="97665024"/>
        <c:scaling>
          <c:orientation val="minMax"/>
        </c:scaling>
        <c:axPos val="b"/>
        <c:tickLblPos val="nextTo"/>
        <c:crossAx val="97666560"/>
        <c:crosses val="autoZero"/>
        <c:auto val="1"/>
        <c:lblAlgn val="ctr"/>
        <c:lblOffset val="100"/>
      </c:catAx>
      <c:valAx>
        <c:axId val="97666560"/>
        <c:scaling>
          <c:orientation val="minMax"/>
        </c:scaling>
        <c:axPos val="l"/>
        <c:majorGridlines/>
        <c:numFmt formatCode="0%" sourceLinked="1"/>
        <c:tickLblPos val="nextTo"/>
        <c:crossAx val="97665024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ysClr val="window" lastClr="FFFFFF">
        <a:lumMod val="75000"/>
      </a:sys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layout>
        <c:manualLayout>
          <c:xMode val="edge"/>
          <c:yMode val="edge"/>
          <c:x val="6.9096858286390131E-2"/>
          <c:y val="0.16598044520850788"/>
        </c:manualLayout>
      </c:layout>
    </c:title>
    <c:plotArea>
      <c:layout>
        <c:manualLayout>
          <c:layoutTarget val="inner"/>
          <c:xMode val="edge"/>
          <c:yMode val="edge"/>
          <c:x val="9.6494434983922218E-4"/>
          <c:y val="0.30858923070649347"/>
          <c:w val="0.58478284844416628"/>
          <c:h val="0.38569475684346688"/>
        </c:manualLayout>
      </c:layout>
      <c:pieChart>
        <c:varyColors val="1"/>
        <c:ser>
          <c:idx val="0"/>
          <c:order val="0"/>
          <c:tx>
            <c:strRef>
              <c:f>'Page 1'!$AF$1</c:f>
              <c:strCache>
                <c:ptCount val="1"/>
                <c:pt idx="0">
                  <c:v>Soru Bazlı Memnuniyet Oranı </c:v>
                </c:pt>
              </c:strCache>
            </c:strRef>
          </c:tx>
          <c:dLbls>
            <c:showVal val="1"/>
            <c:showLeaderLines val="1"/>
          </c:dLbls>
          <c:cat>
            <c:strRef>
              <c:f>'Page 1'!$AE$2:$AE$17</c:f>
              <c:strCache>
                <c:ptCount val="16"/>
                <c:pt idx="0">
                  <c:v>Soru 1 Üniversitenin akademik yükseltme ölçütlerinden.</c:v>
                </c:pt>
                <c:pt idx="1">
                  <c:v>Soru 2 Derslerde teknolojik araç ve gereçler etkin kullanılmaktadır.</c:v>
                </c:pt>
                <c:pt idx="2">
                  <c:v>Soru 3 Danışmanım sorunlarıma karşı duyarlıdır.</c:v>
                </c:pt>
                <c:pt idx="3">
                  <c:v>Soru 4 Dersliklerin donanımı uygundur.</c:v>
                </c:pt>
                <c:pt idx="4">
                  <c:v>Soru 5 Proje olanaklarından haberdar edilmekteyim.</c:v>
                </c:pt>
                <c:pt idx="5">
                  <c:v>Soru 6 Üniversite web sayfası kullanıcı dostu olma yönünden yeterlidir.</c:v>
                </c:pt>
                <c:pt idx="6">
                  <c:v>Soru 7 Öğrenim ortamının temizlik düzeyi yeterlidir.</c:v>
                </c:pt>
                <c:pt idx="7">
                  <c:v>Soru 8 Öğrenci kulüpleri etkinlikler açısından yeterlidir.</c:v>
                </c:pt>
                <c:pt idx="8">
                  <c:v>Soru 9 Üniversite tarafından bizlere sunulan kültürel, sportif ve sanatsal olanaklar yeterlidir.</c:v>
                </c:pt>
                <c:pt idx="9">
                  <c:v>Soru 10 Merkezi kütüphane fiziki yönden ve donanım açısından yeterlidir.</c:v>
                </c:pt>
                <c:pt idx="10">
                  <c:v>Soru 11 Üniversitede yer alan kantin, kafe, restoran vb. işletmelerin hizmet kalitesi yeterlidir.</c:v>
                </c:pt>
                <c:pt idx="11">
                  <c:v>Soru 12 Üniversitenin kariyer planlama etkinlikleri yeterlidir.</c:v>
                </c:pt>
                <c:pt idx="12">
                  <c:v>Soru 13 Değişim programları (Erasmus +, Farabi, Mevlana, vb.) bilgilendirme düzeyleri yeterlidir.</c:v>
                </c:pt>
                <c:pt idx="13">
                  <c:v>Soru 14 Üniversitenin özel gereksinimli bireyler açısından erişilebilirliği uygundur.</c:v>
                </c:pt>
                <c:pt idx="14">
                  <c:v>Soru 15 Topluma hizmet uygulamaları yeterlidir.</c:v>
                </c:pt>
                <c:pt idx="15">
                  <c:v>Soru 16 Üniversite içi huzur ve güven hizmetleri uygundur.</c:v>
                </c:pt>
              </c:strCache>
            </c:strRef>
          </c:cat>
          <c:val>
            <c:numRef>
              <c:f>'Page 1'!$AF$2:$AF$17</c:f>
              <c:numCache>
                <c:formatCode>0%</c:formatCode>
                <c:ptCount val="16"/>
                <c:pt idx="0">
                  <c:v>0.6269473684210527</c:v>
                </c:pt>
                <c:pt idx="1">
                  <c:v>0.60336842105263122</c:v>
                </c:pt>
                <c:pt idx="2">
                  <c:v>0.57763713080168777</c:v>
                </c:pt>
                <c:pt idx="3">
                  <c:v>0.58778947368421064</c:v>
                </c:pt>
                <c:pt idx="4">
                  <c:v>0.54704641350211003</c:v>
                </c:pt>
                <c:pt idx="5">
                  <c:v>0.59663512092534143</c:v>
                </c:pt>
                <c:pt idx="6">
                  <c:v>0.60147058823529409</c:v>
                </c:pt>
                <c:pt idx="7">
                  <c:v>0.52962184873949614</c:v>
                </c:pt>
                <c:pt idx="8">
                  <c:v>0.5270811380400422</c:v>
                </c:pt>
                <c:pt idx="9">
                  <c:v>0.59768421052631582</c:v>
                </c:pt>
                <c:pt idx="10">
                  <c:v>0.5863157894736839</c:v>
                </c:pt>
                <c:pt idx="11">
                  <c:v>0.5389006342494721</c:v>
                </c:pt>
                <c:pt idx="12">
                  <c:v>0.54957805907172996</c:v>
                </c:pt>
                <c:pt idx="13">
                  <c:v>0.57315010570824487</c:v>
                </c:pt>
                <c:pt idx="14">
                  <c:v>0.57191489361702164</c:v>
                </c:pt>
                <c:pt idx="15">
                  <c:v>0.61880341880341916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4182766382550283"/>
          <c:y val="6.7974438219868843E-2"/>
          <c:w val="0.34161300094705488"/>
          <c:h val="0.92163614559395768"/>
        </c:manualLayout>
      </c:layout>
      <c:txPr>
        <a:bodyPr/>
        <a:lstStyle/>
        <a:p>
          <a:pPr>
            <a:defRPr sz="800"/>
          </a:pPr>
          <a:endParaRPr lang="tr-TR"/>
        </a:p>
      </c:txPr>
    </c:legend>
    <c:plotVisOnly val="1"/>
  </c:chart>
  <c:spPr>
    <a:solidFill>
      <a:schemeClr val="bg1">
        <a:lumMod val="75000"/>
      </a:schemeClr>
    </a:solidFill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</dc:creator>
  <cp:keywords/>
  <dc:description/>
  <cp:lastModifiedBy>Abd</cp:lastModifiedBy>
  <cp:revision>8</cp:revision>
  <dcterms:created xsi:type="dcterms:W3CDTF">2023-05-31T12:19:00Z</dcterms:created>
  <dcterms:modified xsi:type="dcterms:W3CDTF">2023-06-01T07:10:00Z</dcterms:modified>
</cp:coreProperties>
</file>