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D4376A" w:rsidRPr="00F759BA" w:rsidRDefault="00C5279D" w:rsidP="00EE6BD0">
            <w:pPr>
              <w:pStyle w:val="Default"/>
              <w:jc w:val="center"/>
              <w:rPr>
                <w:b/>
                <w:sz w:val="32"/>
                <w:szCs w:val="32"/>
              </w:rPr>
            </w:pPr>
            <w:r w:rsidRPr="00F759BA">
              <w:rPr>
                <w:b/>
                <w:color w:val="auto"/>
                <w:sz w:val="32"/>
                <w:szCs w:val="32"/>
              </w:rPr>
              <w:t>MUAYENE VE KABUL KOMİSYONU</w:t>
            </w:r>
          </w:p>
        </w:tc>
      </w:tr>
      <w:tr w:rsidR="00021CEA" w:rsidRPr="00C23377" w:rsidTr="00F759BA">
        <w:trPr>
          <w:trHeight w:val="1695"/>
        </w:trPr>
        <w:tc>
          <w:tcPr>
            <w:tcW w:w="9883" w:type="dxa"/>
            <w:shd w:val="clear" w:color="auto" w:fill="auto"/>
          </w:tcPr>
          <w:p w:rsidR="00F759BA" w:rsidRDefault="00F759BA" w:rsidP="000D6871">
            <w:pPr>
              <w:pStyle w:val="Default"/>
              <w:jc w:val="center"/>
              <w:rPr>
                <w:b/>
                <w:i/>
                <w:color w:val="FF0000"/>
              </w:rPr>
            </w:pPr>
          </w:p>
          <w:p w:rsidR="000D6871" w:rsidRPr="000D6871" w:rsidRDefault="000D6871" w:rsidP="000D6871">
            <w:pPr>
              <w:pStyle w:val="Default"/>
              <w:jc w:val="center"/>
              <w:rPr>
                <w:b/>
                <w:i/>
                <w:color w:val="FF0000"/>
              </w:rPr>
            </w:pPr>
            <w:r>
              <w:rPr>
                <w:b/>
                <w:i/>
                <w:color w:val="FF0000"/>
              </w:rPr>
              <w:t>KOMİSYON</w:t>
            </w:r>
            <w:r w:rsidRPr="000D6871">
              <w:rPr>
                <w:b/>
                <w:i/>
                <w:color w:val="FF0000"/>
              </w:rPr>
              <w:t xml:space="preserve"> ÜYELERİ </w:t>
            </w:r>
          </w:p>
          <w:p w:rsidR="000D6871" w:rsidRPr="000D6871" w:rsidRDefault="000D6871" w:rsidP="000D6871">
            <w:pPr>
              <w:pStyle w:val="Default"/>
              <w:jc w:val="center"/>
              <w:rPr>
                <w:b/>
                <w:i/>
                <w:color w:val="FF0000"/>
              </w:rPr>
            </w:pPr>
            <w:r w:rsidRPr="000D6871">
              <w:rPr>
                <w:b/>
                <w:i/>
                <w:color w:val="FF0000"/>
              </w:rPr>
              <w:t xml:space="preserve"> </w:t>
            </w:r>
          </w:p>
          <w:p w:rsidR="00F759BA" w:rsidRPr="004E0008" w:rsidRDefault="00C5279D" w:rsidP="00F759BA">
            <w:pPr>
              <w:pStyle w:val="Default"/>
              <w:ind w:left="708"/>
              <w:jc w:val="both"/>
              <w:rPr>
                <w:i/>
                <w:color w:val="FF0000"/>
              </w:rPr>
            </w:pPr>
            <w:r w:rsidRPr="00C5279D">
              <w:rPr>
                <w:i/>
              </w:rPr>
              <w:t>Dekan tarafından görevlendirilen Dekan Yardımcısı (Başkan), Fakülte Sekret</w:t>
            </w:r>
            <w:r w:rsidR="004E0008">
              <w:rPr>
                <w:i/>
              </w:rPr>
              <w:t>eri ve</w:t>
            </w:r>
            <w:r w:rsidR="004E0008" w:rsidRPr="004E0008">
              <w:rPr>
                <w:i/>
                <w:color w:val="1C283D"/>
                <w:shd w:val="clear" w:color="auto" w:fill="FFFFFF"/>
              </w:rPr>
              <w:t xml:space="preserve"> biri işin uzmanı olmak üzere en az üç veya daha fazla tek sayıda kişi ile yedek üyelerden oluşan muayene ve kabul komisyonları kurulur. Ancak, ilgili idarede yeterli sayıda veya işin özelliğine uygun nitelikte uzman personel bulunmaması durumunda, 4734 sayılı Kanuna tabi idarelerden uzman personel görevlendirilebilir</w:t>
            </w:r>
          </w:p>
          <w:p w:rsidR="00841472" w:rsidRDefault="00F759BA" w:rsidP="00F759BA">
            <w:pPr>
              <w:pStyle w:val="Default"/>
              <w:ind w:left="708"/>
              <w:jc w:val="both"/>
              <w:rPr>
                <w:i/>
              </w:rPr>
            </w:pPr>
            <w:r w:rsidRPr="00C5279D">
              <w:rPr>
                <w:i/>
                <w:color w:val="FF0000"/>
              </w:rPr>
              <w:t xml:space="preserve">Muayene ve Kabul Komisyonu’nun görevi genel olarak; </w:t>
            </w:r>
            <w:r w:rsidRPr="00C5279D">
              <w:rPr>
                <w:i/>
              </w:rPr>
              <w:t>ilgili Mevzuat çerçevesinde, Yönetmelikte belirtilen komisyonlarca belirlenen ve onay gören ihale konusu gereksinim ve hizmet alımlarının geçici ve kesin kabullerini yapmak; idareye teslim edilen malın veya yapılan işin belirtilen şartlara uygun olup olmadığını incelemek ve Satın Alma Komisyonu tarafından satın alınan tüm malzemelerin standartlara ve ihtiyaçlara uygun olup olmadığını belirlemektir</w:t>
            </w:r>
            <w:r>
              <w:rPr>
                <w:i/>
              </w:rPr>
              <w:t>.</w:t>
            </w:r>
          </w:p>
          <w:p w:rsidR="00F759BA" w:rsidRPr="00BE1F35" w:rsidRDefault="00F759BA" w:rsidP="00F759BA">
            <w:pPr>
              <w:pStyle w:val="Default"/>
              <w:ind w:left="708"/>
              <w:jc w:val="both"/>
              <w:rPr>
                <w:i/>
              </w:rPr>
            </w:pPr>
          </w:p>
        </w:tc>
      </w:tr>
      <w:tr w:rsidR="00C00C71" w:rsidRPr="004F66A5" w:rsidTr="00F759BA">
        <w:tc>
          <w:tcPr>
            <w:tcW w:w="9883" w:type="dxa"/>
            <w:shd w:val="clear" w:color="auto" w:fill="auto"/>
          </w:tcPr>
          <w:p w:rsidR="00C5279D" w:rsidRPr="004E0008" w:rsidRDefault="00C5279D" w:rsidP="00F759BA">
            <w:pPr>
              <w:pStyle w:val="ListeParagraf"/>
              <w:numPr>
                <w:ilvl w:val="0"/>
                <w:numId w:val="26"/>
              </w:numPr>
              <w:ind w:left="664"/>
              <w:jc w:val="both"/>
              <w:rPr>
                <w:rFonts w:ascii="Times New Roman" w:hAnsi="Times New Roman" w:cs="Times New Roman"/>
                <w:sz w:val="24"/>
                <w:szCs w:val="24"/>
              </w:rPr>
            </w:pPr>
            <w:r w:rsidRPr="004E0008">
              <w:rPr>
                <w:rFonts w:ascii="Times New Roman" w:hAnsi="Times New Roman" w:cs="Times New Roman"/>
                <w:sz w:val="24"/>
                <w:szCs w:val="24"/>
              </w:rPr>
              <w:t xml:space="preserve">Yönetmelikte belirtilen komisyonlarca belirlenen ve onay gören ihale konusu gereksinim ve hizmet alımlarının geçici ve kesin kabullerini yapmak. </w:t>
            </w:r>
          </w:p>
          <w:p w:rsidR="00C5279D" w:rsidRPr="004E0008" w:rsidRDefault="00C5279D" w:rsidP="00F759BA">
            <w:pPr>
              <w:pStyle w:val="ListeParagraf"/>
              <w:numPr>
                <w:ilvl w:val="0"/>
                <w:numId w:val="26"/>
              </w:numPr>
              <w:ind w:left="664"/>
              <w:jc w:val="both"/>
              <w:rPr>
                <w:rFonts w:ascii="Times New Roman" w:hAnsi="Times New Roman" w:cs="Times New Roman"/>
                <w:sz w:val="24"/>
                <w:szCs w:val="24"/>
              </w:rPr>
            </w:pPr>
            <w:r w:rsidRPr="004E0008">
              <w:rPr>
                <w:rFonts w:ascii="Times New Roman" w:hAnsi="Times New Roman" w:cs="Times New Roman"/>
                <w:sz w:val="24"/>
                <w:szCs w:val="24"/>
              </w:rPr>
              <w:t xml:space="preserve">Uygunluk içeren karar ve kabul tutanağını imzalamak. </w:t>
            </w:r>
          </w:p>
          <w:p w:rsidR="004E0008" w:rsidRDefault="00C5279D" w:rsidP="004E0008">
            <w:pPr>
              <w:pStyle w:val="ListeParagraf"/>
              <w:numPr>
                <w:ilvl w:val="0"/>
                <w:numId w:val="26"/>
              </w:numPr>
              <w:ind w:left="664"/>
              <w:jc w:val="both"/>
              <w:rPr>
                <w:rFonts w:ascii="Times New Roman" w:hAnsi="Times New Roman" w:cs="Times New Roman"/>
                <w:sz w:val="24"/>
                <w:szCs w:val="24"/>
              </w:rPr>
            </w:pPr>
            <w:r w:rsidRPr="004E0008">
              <w:rPr>
                <w:rFonts w:ascii="Times New Roman" w:hAnsi="Times New Roman" w:cs="Times New Roman"/>
                <w:sz w:val="24"/>
                <w:szCs w:val="24"/>
              </w:rPr>
              <w:t xml:space="preserve">Kabul edilmeyen mal veya hizmeti iade etmek veya düzelttirmek. </w:t>
            </w:r>
          </w:p>
          <w:p w:rsidR="004E0008" w:rsidRDefault="00C5279D" w:rsidP="004E0008">
            <w:pPr>
              <w:pStyle w:val="ListeParagraf"/>
              <w:numPr>
                <w:ilvl w:val="0"/>
                <w:numId w:val="26"/>
              </w:numPr>
              <w:ind w:left="664"/>
              <w:jc w:val="both"/>
              <w:rPr>
                <w:rFonts w:ascii="Times New Roman" w:hAnsi="Times New Roman" w:cs="Times New Roman"/>
                <w:sz w:val="24"/>
                <w:szCs w:val="24"/>
              </w:rPr>
            </w:pPr>
            <w:r w:rsidRPr="004E0008">
              <w:rPr>
                <w:rFonts w:ascii="Times New Roman" w:hAnsi="Times New Roman" w:cs="Times New Roman"/>
                <w:sz w:val="24"/>
                <w:szCs w:val="24"/>
              </w:rPr>
              <w:t xml:space="preserve">Firmanın belirttiği tarihte teslim ettiği mal ve malzemenin Faturasını Komisyondan geçtikten sonra Dekanlık Makamına teslim etmek.  </w:t>
            </w:r>
          </w:p>
          <w:p w:rsidR="004E0008" w:rsidRPr="004E0008" w:rsidRDefault="004E0008" w:rsidP="004E0008">
            <w:pPr>
              <w:pStyle w:val="ListeParagraf"/>
              <w:numPr>
                <w:ilvl w:val="0"/>
                <w:numId w:val="26"/>
              </w:numPr>
              <w:ind w:left="664"/>
              <w:jc w:val="both"/>
              <w:rPr>
                <w:rFonts w:ascii="Times New Roman" w:hAnsi="Times New Roman" w:cs="Times New Roman"/>
                <w:sz w:val="24"/>
                <w:szCs w:val="24"/>
              </w:rPr>
            </w:pPr>
            <w:r w:rsidRPr="004E0008">
              <w:rPr>
                <w:rFonts w:ascii="Times New Roman" w:hAnsi="Times New Roman" w:cs="Times New Roman"/>
                <w:color w:val="1C283D"/>
                <w:sz w:val="24"/>
                <w:szCs w:val="24"/>
              </w:rPr>
              <w:t>Yüklenici tarafından idareye teslim edilen malın veya yapılan işin ihale dokümanında belirtilen şartlara uygun olup olmadığını inceler.</w:t>
            </w:r>
          </w:p>
          <w:p w:rsidR="004E0008" w:rsidRDefault="004E0008" w:rsidP="004E0008">
            <w:pPr>
              <w:pStyle w:val="ListeParagraf"/>
              <w:numPr>
                <w:ilvl w:val="0"/>
                <w:numId w:val="26"/>
              </w:numPr>
              <w:shd w:val="clear" w:color="auto" w:fill="FFFFFF"/>
              <w:spacing w:line="240" w:lineRule="atLeast"/>
              <w:ind w:left="664"/>
              <w:jc w:val="both"/>
              <w:rPr>
                <w:rFonts w:ascii="Times New Roman" w:hAnsi="Times New Roman" w:cs="Times New Roman"/>
                <w:color w:val="1C283D"/>
                <w:sz w:val="24"/>
                <w:szCs w:val="24"/>
              </w:rPr>
            </w:pPr>
            <w:r w:rsidRPr="004E0008">
              <w:rPr>
                <w:rFonts w:ascii="Times New Roman" w:hAnsi="Times New Roman" w:cs="Times New Roman"/>
                <w:color w:val="1C283D"/>
                <w:sz w:val="24"/>
                <w:szCs w:val="24"/>
              </w:rPr>
              <w:t>Komisyon üyeleri her muayenede hazır bulunmak zorundadır. Kısa sürede bozulabilen maddelerin muayenesine öncelik verir.</w:t>
            </w:r>
          </w:p>
          <w:p w:rsidR="004E0008" w:rsidRPr="004E0008" w:rsidRDefault="004E0008" w:rsidP="004E0008">
            <w:pPr>
              <w:pStyle w:val="ListeParagraf"/>
              <w:numPr>
                <w:ilvl w:val="0"/>
                <w:numId w:val="26"/>
              </w:numPr>
              <w:shd w:val="clear" w:color="auto" w:fill="FFFFFF"/>
              <w:spacing w:line="240" w:lineRule="atLeast"/>
              <w:ind w:left="664"/>
              <w:jc w:val="both"/>
              <w:rPr>
                <w:rFonts w:ascii="Times New Roman" w:hAnsi="Times New Roman" w:cs="Times New Roman"/>
                <w:color w:val="1C283D"/>
                <w:sz w:val="24"/>
                <w:szCs w:val="24"/>
              </w:rPr>
            </w:pPr>
            <w:r w:rsidRPr="004E0008">
              <w:rPr>
                <w:rFonts w:ascii="Times New Roman" w:hAnsi="Times New Roman" w:cs="Times New Roman"/>
                <w:color w:val="1C283D"/>
                <w:sz w:val="24"/>
                <w:szCs w:val="24"/>
              </w:rPr>
              <w:t>Komisyon,  ihale dokümanında belirlenen şekilde kabul işlemlerinde esas alınacak işlemleri yürütür.</w:t>
            </w:r>
          </w:p>
          <w:p w:rsidR="00C5279D" w:rsidRPr="004E0008" w:rsidRDefault="00C5279D" w:rsidP="00F759BA">
            <w:pPr>
              <w:pStyle w:val="ListeParagraf"/>
              <w:numPr>
                <w:ilvl w:val="0"/>
                <w:numId w:val="26"/>
              </w:numPr>
              <w:ind w:left="664"/>
              <w:jc w:val="both"/>
              <w:rPr>
                <w:rFonts w:ascii="Times New Roman" w:hAnsi="Times New Roman" w:cs="Times New Roman"/>
                <w:sz w:val="24"/>
                <w:szCs w:val="24"/>
              </w:rPr>
            </w:pPr>
            <w:r w:rsidRPr="004E0008">
              <w:rPr>
                <w:rFonts w:ascii="Times New Roman" w:hAnsi="Times New Roman" w:cs="Times New Roman"/>
                <w:sz w:val="24"/>
                <w:szCs w:val="24"/>
              </w:rPr>
              <w:t xml:space="preserve">Muayene ve Kabul Komisyonunda alınan kararları Dekanlık Makamına bildirmek. </w:t>
            </w:r>
          </w:p>
          <w:p w:rsidR="00C00C71" w:rsidRDefault="00C5279D" w:rsidP="00F759BA">
            <w:pPr>
              <w:pStyle w:val="ListeParagraf"/>
              <w:numPr>
                <w:ilvl w:val="0"/>
                <w:numId w:val="26"/>
              </w:numPr>
              <w:ind w:left="664"/>
              <w:jc w:val="both"/>
              <w:rPr>
                <w:rFonts w:ascii="Times New Roman" w:hAnsi="Times New Roman" w:cs="Times New Roman"/>
                <w:sz w:val="24"/>
                <w:szCs w:val="24"/>
              </w:rPr>
            </w:pPr>
            <w:r w:rsidRPr="004E0008">
              <w:rPr>
                <w:rFonts w:ascii="Times New Roman" w:hAnsi="Times New Roman" w:cs="Times New Roman"/>
                <w:sz w:val="24"/>
                <w:szCs w:val="24"/>
              </w:rPr>
              <w:t>Muayene ve Kabul Komisyonu Dekana karşı sorumludur.</w:t>
            </w:r>
          </w:p>
          <w:p w:rsidR="004E0008" w:rsidRPr="004E0008" w:rsidRDefault="004E0008" w:rsidP="004E0008">
            <w:pPr>
              <w:pStyle w:val="ListeParagraf"/>
              <w:numPr>
                <w:ilvl w:val="0"/>
                <w:numId w:val="26"/>
              </w:numPr>
              <w:ind w:left="664"/>
              <w:jc w:val="both"/>
              <w:rPr>
                <w:rFonts w:ascii="Times New Roman" w:hAnsi="Times New Roman" w:cs="Times New Roman"/>
                <w:b/>
                <w:sz w:val="24"/>
                <w:szCs w:val="24"/>
              </w:rPr>
            </w:pPr>
            <w:r w:rsidRPr="004E0008">
              <w:rPr>
                <w:rStyle w:val="Gl"/>
                <w:rFonts w:ascii="Times New Roman" w:hAnsi="Times New Roman" w:cs="Times New Roman"/>
                <w:b w:val="0"/>
                <w:color w:val="1C283D"/>
                <w:sz w:val="24"/>
                <w:szCs w:val="24"/>
                <w:shd w:val="clear" w:color="auto" w:fill="FFFFFF"/>
              </w:rPr>
              <w:t xml:space="preserve">Yukarıda belirtilmeyen mal ve hizmet alımı ile ilgili diğer </w:t>
            </w:r>
            <w:r w:rsidR="0051529B" w:rsidRPr="004E0008">
              <w:rPr>
                <w:rStyle w:val="Gl"/>
                <w:rFonts w:ascii="Times New Roman" w:hAnsi="Times New Roman" w:cs="Times New Roman"/>
                <w:b w:val="0"/>
                <w:color w:val="1C283D"/>
                <w:sz w:val="24"/>
                <w:szCs w:val="24"/>
                <w:shd w:val="clear" w:color="auto" w:fill="FFFFFF"/>
              </w:rPr>
              <w:t>hususlar Mal</w:t>
            </w:r>
            <w:r w:rsidRPr="004E0008">
              <w:rPr>
                <w:rStyle w:val="Gl"/>
                <w:rFonts w:ascii="Times New Roman" w:hAnsi="Times New Roman" w:cs="Times New Roman"/>
                <w:b w:val="0"/>
                <w:color w:val="1C283D"/>
                <w:sz w:val="24"/>
                <w:szCs w:val="24"/>
                <w:shd w:val="clear" w:color="auto" w:fill="FFFFFF"/>
              </w:rPr>
              <w:t xml:space="preserve"> Alımları Denetim Muayene Ve Kabul İşlemlerine Dair Yönetmelik esas alınarak </w:t>
            </w:r>
            <w:r w:rsidR="0051529B">
              <w:rPr>
                <w:rStyle w:val="Gl"/>
                <w:rFonts w:ascii="Times New Roman" w:hAnsi="Times New Roman" w:cs="Times New Roman"/>
                <w:b w:val="0"/>
                <w:color w:val="1C283D"/>
                <w:sz w:val="24"/>
                <w:szCs w:val="24"/>
                <w:shd w:val="clear" w:color="auto" w:fill="FFFFFF"/>
              </w:rPr>
              <w:t>yapmak.</w:t>
            </w: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14" w:rsidRDefault="00B75814" w:rsidP="00D4376A">
      <w:pPr>
        <w:spacing w:after="0" w:line="240" w:lineRule="auto"/>
      </w:pPr>
      <w:r>
        <w:separator/>
      </w:r>
    </w:p>
  </w:endnote>
  <w:endnote w:type="continuationSeparator" w:id="0">
    <w:p w:rsidR="00B75814" w:rsidRDefault="00B75814"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8B" w:rsidRDefault="00CE488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D4376A" w:rsidP="000C30AB">
    <w:pPr>
      <w:pStyle w:val="AltBilgi"/>
      <w:ind w:hanging="426"/>
      <w:rPr>
        <w:rStyle w:val="SayfaNumaras"/>
        <w:rFonts w:ascii="Times New Roman" w:hAnsi="Times New Roman" w:cs="Times New Roman"/>
      </w:rPr>
    </w:pPr>
    <w:r w:rsidRPr="004423D5">
      <w:rPr>
        <w:rFonts w:ascii="Times New Roman" w:hAnsi="Times New Roman" w:cs="Times New Roman"/>
      </w:rPr>
      <w:t>KGK-FRM-002/0</w:t>
    </w:r>
    <w:r w:rsidR="007277E6">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7277E6">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7277E6">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8B" w:rsidRDefault="00CE488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14" w:rsidRDefault="00B75814" w:rsidP="00D4376A">
      <w:pPr>
        <w:spacing w:after="0" w:line="240" w:lineRule="auto"/>
      </w:pPr>
      <w:r>
        <w:separator/>
      </w:r>
    </w:p>
  </w:footnote>
  <w:footnote w:type="continuationSeparator" w:id="0">
    <w:p w:rsidR="00B75814" w:rsidRDefault="00B75814"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8B" w:rsidRDefault="00CE488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4"/>
      <w:gridCol w:w="1628"/>
      <w:gridCol w:w="1524"/>
    </w:tblGrid>
    <w:tr w:rsidR="00D4376A" w:rsidTr="00475E07">
      <w:trPr>
        <w:cantSplit/>
        <w:trHeight w:val="300"/>
      </w:trPr>
      <w:tc>
        <w:tcPr>
          <w:tcW w:w="709" w:type="pct"/>
          <w:vMerge w:val="restart"/>
          <w:vAlign w:val="center"/>
          <w:hideMark/>
        </w:tcPr>
        <w:p w:rsidR="00D4376A" w:rsidRDefault="007277E6" w:rsidP="00D4376A">
          <w:pPr>
            <w:pStyle w:val="stBilgi"/>
            <w:jc w:val="center"/>
            <w:rPr>
              <w:rFonts w:ascii="Century Gothic" w:hAnsi="Century Gothic"/>
            </w:rPr>
          </w:pPr>
          <w:r>
            <w:rPr>
              <w:noProof/>
              <w:lang w:eastAsia="tr-TR"/>
            </w:rPr>
            <w:drawing>
              <wp:inline distT="0" distB="0" distL="0" distR="0" wp14:anchorId="30D18D21" wp14:editId="7220098C">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23" w:type="pct"/>
          <w:vMerge w:val="restart"/>
          <w:vAlign w:val="center"/>
          <w:hideMark/>
        </w:tcPr>
        <w:p w:rsidR="00D4376A" w:rsidRPr="00352CD2" w:rsidRDefault="00D4376A" w:rsidP="00D4376A">
          <w:pPr>
            <w:pStyle w:val="stBilgi"/>
            <w:jc w:val="center"/>
            <w:rPr>
              <w:rFonts w:ascii="Times New Roman" w:hAnsi="Times New Roman" w:cs="Times New Roman"/>
              <w:b/>
              <w:sz w:val="32"/>
              <w:szCs w:val="32"/>
            </w:rPr>
          </w:pPr>
          <w:r w:rsidRPr="00352CD2">
            <w:rPr>
              <w:rFonts w:ascii="Times New Roman" w:hAnsi="Times New Roman" w:cs="Times New Roman"/>
              <w:b/>
              <w:sz w:val="32"/>
              <w:szCs w:val="32"/>
            </w:rPr>
            <w:t>DİCLE ÜNİVERSİTESİ</w:t>
          </w:r>
        </w:p>
        <w:p w:rsidR="00D4376A" w:rsidRPr="00021CEA" w:rsidRDefault="00352CD2" w:rsidP="00B34B78">
          <w:pPr>
            <w:pStyle w:val="stBilgi"/>
            <w:jc w:val="center"/>
            <w:rPr>
              <w:rFonts w:ascii="Times New Roman" w:hAnsi="Times New Roman" w:cs="Times New Roman"/>
              <w:b/>
              <w:sz w:val="28"/>
              <w:szCs w:val="28"/>
            </w:rPr>
          </w:pPr>
          <w:r w:rsidRPr="00352CD2">
            <w:rPr>
              <w:rFonts w:ascii="Times New Roman" w:hAnsi="Times New Roman" w:cs="Times New Roman"/>
              <w:b/>
              <w:sz w:val="32"/>
              <w:szCs w:val="32"/>
            </w:rPr>
            <w:t>ZİRAAT</w:t>
          </w:r>
          <w:r w:rsidR="00377BAA" w:rsidRPr="00352CD2">
            <w:rPr>
              <w:rFonts w:ascii="Times New Roman" w:hAnsi="Times New Roman" w:cs="Times New Roman"/>
              <w:b/>
              <w:sz w:val="32"/>
              <w:szCs w:val="32"/>
            </w:rPr>
            <w:t xml:space="preserve"> FAKÜLTESİ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F759BA" w:rsidP="00F759BA">
          <w:pPr>
            <w:pStyle w:val="stBilgi"/>
            <w:rPr>
              <w:rFonts w:ascii="Times New Roman" w:hAnsi="Times New Roman" w:cs="Times New Roman"/>
              <w:b/>
              <w:bCs/>
              <w:sz w:val="18"/>
              <w:szCs w:val="18"/>
            </w:rPr>
          </w:pPr>
          <w:r>
            <w:rPr>
              <w:rFonts w:ascii="Times New Roman" w:hAnsi="Times New Roman" w:cs="Times New Roman"/>
              <w:b/>
              <w:bCs/>
              <w:sz w:val="18"/>
              <w:szCs w:val="18"/>
            </w:rPr>
            <w:t>ZİR</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Pr>
              <w:rFonts w:ascii="Times New Roman" w:hAnsi="Times New Roman" w:cs="Times New Roman"/>
              <w:b/>
              <w:bCs/>
              <w:sz w:val="18"/>
              <w:szCs w:val="18"/>
            </w:rPr>
            <w:t>22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F759BA" w:rsidP="00F759BA">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7277E6"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8B" w:rsidRDefault="00CE488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97968FA"/>
    <w:multiLevelType w:val="hybridMultilevel"/>
    <w:tmpl w:val="F7FE68F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A2B2451"/>
    <w:multiLevelType w:val="hybridMultilevel"/>
    <w:tmpl w:val="F5CAEFB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7" w15:restartNumberingAfterBreak="0">
    <w:nsid w:val="1D306DC0"/>
    <w:multiLevelType w:val="hybridMultilevel"/>
    <w:tmpl w:val="684218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6B5AA6"/>
    <w:multiLevelType w:val="hybridMultilevel"/>
    <w:tmpl w:val="BD96B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A220AC8"/>
    <w:multiLevelType w:val="hybridMultilevel"/>
    <w:tmpl w:val="6A2213C8"/>
    <w:lvl w:ilvl="0" w:tplc="7A325050">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1"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E2167C"/>
    <w:multiLevelType w:val="hybridMultilevel"/>
    <w:tmpl w:val="1986777E"/>
    <w:lvl w:ilvl="0" w:tplc="D1DC77BE">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5"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BFD2980"/>
    <w:multiLevelType w:val="hybridMultilevel"/>
    <w:tmpl w:val="5B36C422"/>
    <w:lvl w:ilvl="0" w:tplc="DF70902C">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8"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E35C69"/>
    <w:multiLevelType w:val="hybridMultilevel"/>
    <w:tmpl w:val="C01A2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06B35D5"/>
    <w:multiLevelType w:val="hybridMultilevel"/>
    <w:tmpl w:val="C3F64A7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6A02B86"/>
    <w:multiLevelType w:val="hybridMultilevel"/>
    <w:tmpl w:val="4D02D4FA"/>
    <w:lvl w:ilvl="0" w:tplc="BB3436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22"/>
  </w:num>
  <w:num w:numId="3">
    <w:abstractNumId w:val="18"/>
  </w:num>
  <w:num w:numId="4">
    <w:abstractNumId w:val="24"/>
  </w:num>
  <w:num w:numId="5">
    <w:abstractNumId w:val="4"/>
  </w:num>
  <w:num w:numId="6">
    <w:abstractNumId w:val="19"/>
  </w:num>
  <w:num w:numId="7">
    <w:abstractNumId w:val="8"/>
  </w:num>
  <w:num w:numId="8">
    <w:abstractNumId w:val="0"/>
  </w:num>
  <w:num w:numId="9">
    <w:abstractNumId w:val="16"/>
  </w:num>
  <w:num w:numId="10">
    <w:abstractNumId w:val="13"/>
  </w:num>
  <w:num w:numId="11">
    <w:abstractNumId w:val="26"/>
  </w:num>
  <w:num w:numId="12">
    <w:abstractNumId w:val="11"/>
  </w:num>
  <w:num w:numId="13">
    <w:abstractNumId w:val="2"/>
  </w:num>
  <w:num w:numId="14">
    <w:abstractNumId w:val="1"/>
  </w:num>
  <w:num w:numId="15">
    <w:abstractNumId w:val="20"/>
  </w:num>
  <w:num w:numId="16">
    <w:abstractNumId w:val="12"/>
  </w:num>
  <w:num w:numId="17">
    <w:abstractNumId w:val="3"/>
  </w:num>
  <w:num w:numId="18">
    <w:abstractNumId w:val="9"/>
  </w:num>
  <w:num w:numId="19">
    <w:abstractNumId w:val="7"/>
  </w:num>
  <w:num w:numId="20">
    <w:abstractNumId w:val="6"/>
  </w:num>
  <w:num w:numId="21">
    <w:abstractNumId w:val="25"/>
  </w:num>
  <w:num w:numId="22">
    <w:abstractNumId w:val="23"/>
  </w:num>
  <w:num w:numId="23">
    <w:abstractNumId w:val="14"/>
  </w:num>
  <w:num w:numId="24">
    <w:abstractNumId w:val="5"/>
  </w:num>
  <w:num w:numId="25">
    <w:abstractNumId w:val="10"/>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54B87"/>
    <w:rsid w:val="00061F18"/>
    <w:rsid w:val="000628D2"/>
    <w:rsid w:val="000C30AB"/>
    <w:rsid w:val="000D6871"/>
    <w:rsid w:val="000E58F2"/>
    <w:rsid w:val="000F0C4A"/>
    <w:rsid w:val="00130C88"/>
    <w:rsid w:val="001808C6"/>
    <w:rsid w:val="00183383"/>
    <w:rsid w:val="00187A69"/>
    <w:rsid w:val="001D7927"/>
    <w:rsid w:val="001E74F5"/>
    <w:rsid w:val="002305DB"/>
    <w:rsid w:val="002C144E"/>
    <w:rsid w:val="002F01DE"/>
    <w:rsid w:val="002F2A17"/>
    <w:rsid w:val="00333CA3"/>
    <w:rsid w:val="00352CD2"/>
    <w:rsid w:val="00366BB5"/>
    <w:rsid w:val="00377BAA"/>
    <w:rsid w:val="004423D5"/>
    <w:rsid w:val="00443719"/>
    <w:rsid w:val="00455A8D"/>
    <w:rsid w:val="00457795"/>
    <w:rsid w:val="00460787"/>
    <w:rsid w:val="00474DFB"/>
    <w:rsid w:val="00475E07"/>
    <w:rsid w:val="004B5AE8"/>
    <w:rsid w:val="004C48B7"/>
    <w:rsid w:val="004C5513"/>
    <w:rsid w:val="004D545C"/>
    <w:rsid w:val="004E0008"/>
    <w:rsid w:val="004F66A5"/>
    <w:rsid w:val="0051529B"/>
    <w:rsid w:val="00526A0F"/>
    <w:rsid w:val="00556536"/>
    <w:rsid w:val="005F644E"/>
    <w:rsid w:val="00631B08"/>
    <w:rsid w:val="00674B81"/>
    <w:rsid w:val="00686C05"/>
    <w:rsid w:val="007277E6"/>
    <w:rsid w:val="00762837"/>
    <w:rsid w:val="00834D02"/>
    <w:rsid w:val="00841472"/>
    <w:rsid w:val="00847F2B"/>
    <w:rsid w:val="00872A8F"/>
    <w:rsid w:val="008A54F3"/>
    <w:rsid w:val="008C449B"/>
    <w:rsid w:val="008F1AE3"/>
    <w:rsid w:val="00927A3A"/>
    <w:rsid w:val="00953311"/>
    <w:rsid w:val="0098243B"/>
    <w:rsid w:val="00A0008C"/>
    <w:rsid w:val="00A447AC"/>
    <w:rsid w:val="00A64ED7"/>
    <w:rsid w:val="00A71A06"/>
    <w:rsid w:val="00B02924"/>
    <w:rsid w:val="00B07C9F"/>
    <w:rsid w:val="00B34B78"/>
    <w:rsid w:val="00B40514"/>
    <w:rsid w:val="00B4644D"/>
    <w:rsid w:val="00B75814"/>
    <w:rsid w:val="00BD3B83"/>
    <w:rsid w:val="00BD5281"/>
    <w:rsid w:val="00BE1F35"/>
    <w:rsid w:val="00BE357B"/>
    <w:rsid w:val="00BE560F"/>
    <w:rsid w:val="00C00C71"/>
    <w:rsid w:val="00C23377"/>
    <w:rsid w:val="00C5279D"/>
    <w:rsid w:val="00CA7397"/>
    <w:rsid w:val="00CC4DA2"/>
    <w:rsid w:val="00CE488B"/>
    <w:rsid w:val="00CF13E1"/>
    <w:rsid w:val="00D04C9B"/>
    <w:rsid w:val="00D11501"/>
    <w:rsid w:val="00D4376A"/>
    <w:rsid w:val="00DD41AD"/>
    <w:rsid w:val="00E42C43"/>
    <w:rsid w:val="00E67A00"/>
    <w:rsid w:val="00EE6BD0"/>
    <w:rsid w:val="00EE6CF6"/>
    <w:rsid w:val="00EF1B90"/>
    <w:rsid w:val="00F14E56"/>
    <w:rsid w:val="00F2458F"/>
    <w:rsid w:val="00F75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1AE493"/>
  <w15:docId w15:val="{0A9D9227-F2FF-4FF2-93C1-05170BDD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C14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144E"/>
    <w:rPr>
      <w:rFonts w:ascii="Tahoma" w:hAnsi="Tahoma" w:cs="Tahoma"/>
      <w:sz w:val="16"/>
      <w:szCs w:val="16"/>
    </w:rPr>
  </w:style>
  <w:style w:type="paragraph" w:customStyle="1" w:styleId="msobodytextindent">
    <w:name w:val="msobodytextindent"/>
    <w:basedOn w:val="Normal"/>
    <w:rsid w:val="004E00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E0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00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4</cp:revision>
  <cp:lastPrinted>2019-03-29T12:39:00Z</cp:lastPrinted>
  <dcterms:created xsi:type="dcterms:W3CDTF">2019-04-08T12:38:00Z</dcterms:created>
  <dcterms:modified xsi:type="dcterms:W3CDTF">2022-04-07T08:26:00Z</dcterms:modified>
</cp:coreProperties>
</file>