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459" w:rsidRDefault="00F83459" w:rsidP="00F83459">
      <w:pPr>
        <w:jc w:val="center"/>
        <w:rPr>
          <w:rFonts w:ascii="Times New Roman" w:hAnsi="Times New Roman" w:cs="Times New Roman"/>
          <w:b/>
        </w:rPr>
      </w:pPr>
      <w:bookmarkStart w:id="0" w:name="_GoBack"/>
      <w:bookmarkEnd w:id="0"/>
      <w:r>
        <w:rPr>
          <w:noProof/>
          <w:lang w:eastAsia="tr-TR"/>
        </w:rPr>
        <w:drawing>
          <wp:anchor distT="0" distB="0" distL="114300" distR="114300" simplePos="0" relativeHeight="251659264" behindDoc="0" locked="0" layoutInCell="1" allowOverlap="1">
            <wp:simplePos x="0" y="0"/>
            <wp:positionH relativeFrom="column">
              <wp:posOffset>-422447</wp:posOffset>
            </wp:positionH>
            <wp:positionV relativeFrom="paragraph">
              <wp:posOffset>-611471</wp:posOffset>
            </wp:positionV>
            <wp:extent cx="1062681" cy="1043075"/>
            <wp:effectExtent l="0" t="0" r="0" b="0"/>
            <wp:wrapNone/>
            <wp:docPr id="2" name="Resim 2" descr="revize edilen üniversite logosu hakkı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vize edilen üniversite logosu hakkınd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2681" cy="1043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rPr>
        <w:t>Dicle Üniversitesi Diyarbakır Tarım Meslek Yüksekokulu</w:t>
      </w:r>
    </w:p>
    <w:p w:rsidR="00B502B0" w:rsidRDefault="00820974" w:rsidP="00F83459">
      <w:pPr>
        <w:jc w:val="center"/>
        <w:rPr>
          <w:rFonts w:ascii="Times New Roman" w:hAnsi="Times New Roman" w:cs="Times New Roman"/>
          <w:b/>
          <w:sz w:val="28"/>
        </w:rPr>
      </w:pPr>
      <w:r w:rsidRPr="00F83459">
        <w:rPr>
          <w:rFonts w:ascii="Times New Roman" w:hAnsi="Times New Roman" w:cs="Times New Roman"/>
          <w:b/>
          <w:sz w:val="28"/>
        </w:rPr>
        <w:t>Akademik Personel Memnuniyet Anketi</w:t>
      </w:r>
      <w:r w:rsidR="00F83459" w:rsidRPr="00F83459">
        <w:rPr>
          <w:rFonts w:ascii="Times New Roman" w:hAnsi="Times New Roman" w:cs="Times New Roman"/>
          <w:b/>
          <w:sz w:val="28"/>
        </w:rPr>
        <w:t xml:space="preserve"> </w:t>
      </w:r>
      <w:r w:rsidR="00406C2F">
        <w:rPr>
          <w:rFonts w:ascii="Times New Roman" w:hAnsi="Times New Roman" w:cs="Times New Roman"/>
          <w:b/>
          <w:sz w:val="28"/>
        </w:rPr>
        <w:t>–</w:t>
      </w:r>
      <w:r w:rsidR="00F83459" w:rsidRPr="00F83459">
        <w:rPr>
          <w:rFonts w:ascii="Times New Roman" w:hAnsi="Times New Roman" w:cs="Times New Roman"/>
          <w:b/>
          <w:sz w:val="28"/>
        </w:rPr>
        <w:t xml:space="preserve"> 202</w:t>
      </w:r>
      <w:r w:rsidR="007106AA">
        <w:rPr>
          <w:rFonts w:ascii="Times New Roman" w:hAnsi="Times New Roman" w:cs="Times New Roman"/>
          <w:b/>
          <w:sz w:val="28"/>
        </w:rPr>
        <w:t>4</w:t>
      </w:r>
      <w:r w:rsidR="00E57439">
        <w:rPr>
          <w:rFonts w:ascii="Times New Roman" w:hAnsi="Times New Roman" w:cs="Times New Roman"/>
          <w:b/>
          <w:sz w:val="28"/>
        </w:rPr>
        <w:t xml:space="preserve"> </w:t>
      </w:r>
      <w:r w:rsidR="007106AA">
        <w:rPr>
          <w:rFonts w:ascii="Times New Roman" w:hAnsi="Times New Roman" w:cs="Times New Roman"/>
          <w:b/>
          <w:sz w:val="28"/>
        </w:rPr>
        <w:t>Haziran</w:t>
      </w:r>
    </w:p>
    <w:p w:rsidR="00406C2F" w:rsidRPr="00F83459" w:rsidRDefault="00406C2F" w:rsidP="00F83459">
      <w:pPr>
        <w:jc w:val="center"/>
        <w:rPr>
          <w:rFonts w:ascii="Times New Roman" w:hAnsi="Times New Roman" w:cs="Times New Roman"/>
          <w:b/>
          <w:sz w:val="28"/>
        </w:rPr>
      </w:pPr>
    </w:p>
    <w:p w:rsidR="00E500EA" w:rsidRDefault="00820974" w:rsidP="00E500EA">
      <w:pPr>
        <w:ind w:firstLine="708"/>
        <w:jc w:val="both"/>
        <w:rPr>
          <w:rFonts w:ascii="Times New Roman" w:hAnsi="Times New Roman" w:cs="Times New Roman"/>
        </w:rPr>
      </w:pPr>
      <w:r w:rsidRPr="00F7644E">
        <w:rPr>
          <w:rFonts w:ascii="Times New Roman" w:hAnsi="Times New Roman" w:cs="Times New Roman"/>
        </w:rPr>
        <w:t xml:space="preserve">Üniversitemiz Öğrenci İşleri Daire Başkanlığınca </w:t>
      </w:r>
      <w:r w:rsidR="00F83459">
        <w:rPr>
          <w:rFonts w:ascii="Times New Roman" w:hAnsi="Times New Roman" w:cs="Times New Roman"/>
        </w:rPr>
        <w:t>Öğrenci Bilgi Sistemi</w:t>
      </w:r>
      <w:r w:rsidRPr="00F7644E">
        <w:rPr>
          <w:rFonts w:ascii="Times New Roman" w:hAnsi="Times New Roman" w:cs="Times New Roman"/>
        </w:rPr>
        <w:t xml:space="preserve"> </w:t>
      </w:r>
      <w:r w:rsidR="00F83459">
        <w:rPr>
          <w:rFonts w:ascii="Times New Roman" w:hAnsi="Times New Roman" w:cs="Times New Roman"/>
        </w:rPr>
        <w:t>üzerinden 202</w:t>
      </w:r>
      <w:r w:rsidR="00E92EAC">
        <w:rPr>
          <w:rFonts w:ascii="Times New Roman" w:hAnsi="Times New Roman" w:cs="Times New Roman"/>
        </w:rPr>
        <w:t>4</w:t>
      </w:r>
      <w:r w:rsidR="00F83459">
        <w:rPr>
          <w:rFonts w:ascii="Times New Roman" w:hAnsi="Times New Roman" w:cs="Times New Roman"/>
        </w:rPr>
        <w:t xml:space="preserve"> yılı anketleri gerçekleştirilmiştir.</w:t>
      </w:r>
      <w:r w:rsidRPr="00F7644E">
        <w:rPr>
          <w:rFonts w:ascii="Times New Roman" w:hAnsi="Times New Roman" w:cs="Times New Roman"/>
        </w:rPr>
        <w:t xml:space="preserve"> Toplamda 3</w:t>
      </w:r>
      <w:r w:rsidR="00120B00">
        <w:rPr>
          <w:rFonts w:ascii="Times New Roman" w:hAnsi="Times New Roman" w:cs="Times New Roman"/>
        </w:rPr>
        <w:t>4</w:t>
      </w:r>
      <w:r w:rsidRPr="00F7644E">
        <w:rPr>
          <w:rFonts w:ascii="Times New Roman" w:hAnsi="Times New Roman" w:cs="Times New Roman"/>
        </w:rPr>
        <w:t xml:space="preserve"> sorudan oluşan ankette, her soru için 5 ayrı cevap seçeneği bulunmaktadır. Anketi cevaplayan kişilerin bu cevap şıklarından herhangi birini işaretlemesi zorunlu kılınmıştır. Bu sayede anketi cevaplayanların herhangi bir soruda boş cevap vermesi engellenmiştir. Ankete Diyarbakır Tarım Meslek Yüksekokulundan 1</w:t>
      </w:r>
      <w:r w:rsidR="00E959CE">
        <w:rPr>
          <w:rFonts w:ascii="Times New Roman" w:hAnsi="Times New Roman" w:cs="Times New Roman"/>
        </w:rPr>
        <w:t>7</w:t>
      </w:r>
      <w:r w:rsidR="00406C2F">
        <w:rPr>
          <w:rFonts w:ascii="Times New Roman" w:hAnsi="Times New Roman" w:cs="Times New Roman"/>
        </w:rPr>
        <w:t xml:space="preserve"> akademik personel katılmıştır (Çizelge 1).</w:t>
      </w:r>
    </w:p>
    <w:p w:rsidR="00E500EA" w:rsidRDefault="00E500EA" w:rsidP="00E500EA">
      <w:pPr>
        <w:jc w:val="both"/>
        <w:rPr>
          <w:rFonts w:ascii="Times New Roman" w:hAnsi="Times New Roman" w:cs="Times New Roman"/>
        </w:rPr>
      </w:pPr>
      <w:r>
        <w:rPr>
          <w:rFonts w:ascii="Times New Roman" w:hAnsi="Times New Roman" w:cs="Times New Roman"/>
          <w:b/>
          <w:sz w:val="20"/>
        </w:rPr>
        <w:t>Çizelge</w:t>
      </w:r>
      <w:r w:rsidRPr="00D41AF3">
        <w:rPr>
          <w:rFonts w:ascii="Times New Roman" w:hAnsi="Times New Roman" w:cs="Times New Roman"/>
          <w:b/>
          <w:sz w:val="20"/>
        </w:rPr>
        <w:t xml:space="preserve"> 1</w:t>
      </w:r>
      <w:r>
        <w:rPr>
          <w:rFonts w:ascii="Times New Roman" w:hAnsi="Times New Roman" w:cs="Times New Roman"/>
          <w:sz w:val="20"/>
        </w:rPr>
        <w:t>.</w:t>
      </w:r>
      <w:r w:rsidRPr="00CA000E">
        <w:rPr>
          <w:rFonts w:ascii="Times New Roman" w:hAnsi="Times New Roman" w:cs="Times New Roman"/>
          <w:sz w:val="20"/>
        </w:rPr>
        <w:t xml:space="preserve"> Akademik personel memnuniyet anketi soru </w:t>
      </w:r>
      <w:proofErr w:type="gramStart"/>
      <w:r w:rsidRPr="00CA000E">
        <w:rPr>
          <w:rFonts w:ascii="Times New Roman" w:hAnsi="Times New Roman" w:cs="Times New Roman"/>
          <w:sz w:val="20"/>
        </w:rPr>
        <w:t>bazlı</w:t>
      </w:r>
      <w:proofErr w:type="gramEnd"/>
      <w:r w:rsidRPr="00CA000E">
        <w:rPr>
          <w:rFonts w:ascii="Times New Roman" w:hAnsi="Times New Roman" w:cs="Times New Roman"/>
          <w:sz w:val="20"/>
        </w:rPr>
        <w:t xml:space="preserve"> cevap yüzdeleri dağılım </w:t>
      </w:r>
      <w:r>
        <w:rPr>
          <w:rFonts w:ascii="Times New Roman" w:hAnsi="Times New Roman" w:cs="Times New Roman"/>
          <w:sz w:val="20"/>
        </w:rPr>
        <w:t>çizelgesi.</w:t>
      </w:r>
    </w:p>
    <w:tbl>
      <w:tblPr>
        <w:tblW w:w="10846" w:type="dxa"/>
        <w:tblInd w:w="-871" w:type="dxa"/>
        <w:tblCellMar>
          <w:left w:w="70" w:type="dxa"/>
          <w:right w:w="70" w:type="dxa"/>
        </w:tblCellMar>
        <w:tblLook w:val="04A0" w:firstRow="1" w:lastRow="0" w:firstColumn="1" w:lastColumn="0" w:noHBand="0" w:noVBand="1"/>
      </w:tblPr>
      <w:tblGrid>
        <w:gridCol w:w="358"/>
        <w:gridCol w:w="6650"/>
        <w:gridCol w:w="831"/>
        <w:gridCol w:w="687"/>
        <w:gridCol w:w="973"/>
        <w:gridCol w:w="646"/>
        <w:gridCol w:w="701"/>
      </w:tblGrid>
      <w:tr w:rsidR="00120B00" w:rsidRPr="00120B00" w:rsidTr="00E500EA">
        <w:trPr>
          <w:cantSplit/>
          <w:trHeight w:val="1133"/>
        </w:trPr>
        <w:tc>
          <w:tcPr>
            <w:tcW w:w="3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0B00" w:rsidRPr="00120B00" w:rsidRDefault="00120B00" w:rsidP="00120B00">
            <w:pPr>
              <w:spacing w:after="0" w:line="240" w:lineRule="auto"/>
              <w:rPr>
                <w:rFonts w:ascii="Arial" w:eastAsia="Times New Roman" w:hAnsi="Arial" w:cs="Arial"/>
                <w:color w:val="000000"/>
                <w:sz w:val="20"/>
                <w:szCs w:val="20"/>
                <w:lang w:eastAsia="tr-TR"/>
              </w:rPr>
            </w:pPr>
            <w:r w:rsidRPr="00120B00">
              <w:rPr>
                <w:rFonts w:ascii="Arial" w:eastAsia="Times New Roman" w:hAnsi="Arial" w:cs="Arial"/>
                <w:color w:val="000000"/>
                <w:sz w:val="20"/>
                <w:szCs w:val="20"/>
                <w:lang w:eastAsia="tr-TR"/>
              </w:rPr>
              <w:t> </w:t>
            </w:r>
          </w:p>
        </w:tc>
        <w:tc>
          <w:tcPr>
            <w:tcW w:w="6650" w:type="dxa"/>
            <w:tcBorders>
              <w:top w:val="single" w:sz="4" w:space="0" w:color="auto"/>
              <w:left w:val="nil"/>
              <w:bottom w:val="single" w:sz="4" w:space="0" w:color="auto"/>
              <w:right w:val="single" w:sz="4" w:space="0" w:color="auto"/>
            </w:tcBorders>
            <w:shd w:val="clear" w:color="000000" w:fill="4BACC6"/>
            <w:vAlign w:val="center"/>
            <w:hideMark/>
          </w:tcPr>
          <w:p w:rsidR="00120B00" w:rsidRPr="00120B00" w:rsidRDefault="00120B00" w:rsidP="00120B00">
            <w:pPr>
              <w:spacing w:after="0" w:line="240" w:lineRule="auto"/>
              <w:jc w:val="center"/>
              <w:rPr>
                <w:rFonts w:ascii="Times New Roman" w:eastAsia="Times New Roman" w:hAnsi="Times New Roman" w:cs="Times New Roman"/>
                <w:sz w:val="20"/>
                <w:szCs w:val="20"/>
                <w:lang w:eastAsia="tr-TR"/>
              </w:rPr>
            </w:pPr>
            <w:r w:rsidRPr="00120B00">
              <w:rPr>
                <w:rFonts w:ascii="Times New Roman" w:eastAsia="Times New Roman" w:hAnsi="Times New Roman" w:cs="Times New Roman"/>
                <w:sz w:val="20"/>
                <w:szCs w:val="20"/>
                <w:lang w:eastAsia="tr-TR"/>
              </w:rPr>
              <w:t>Soru</w:t>
            </w:r>
          </w:p>
        </w:tc>
        <w:tc>
          <w:tcPr>
            <w:tcW w:w="831" w:type="dxa"/>
            <w:tcBorders>
              <w:top w:val="single" w:sz="4" w:space="0" w:color="auto"/>
              <w:left w:val="nil"/>
              <w:bottom w:val="single" w:sz="4" w:space="0" w:color="auto"/>
              <w:right w:val="single" w:sz="4" w:space="0" w:color="auto"/>
            </w:tcBorders>
            <w:shd w:val="clear" w:color="000000" w:fill="4BACC6"/>
            <w:textDirection w:val="tbRl"/>
            <w:vAlign w:val="center"/>
            <w:hideMark/>
          </w:tcPr>
          <w:p w:rsidR="00120B00" w:rsidRPr="00120B00" w:rsidRDefault="00120B00" w:rsidP="00E500EA">
            <w:pPr>
              <w:spacing w:after="0" w:line="240" w:lineRule="auto"/>
              <w:ind w:left="113" w:right="113"/>
              <w:jc w:val="center"/>
              <w:rPr>
                <w:rFonts w:ascii="Times New Roman" w:eastAsia="Times New Roman" w:hAnsi="Times New Roman" w:cs="Times New Roman"/>
                <w:sz w:val="16"/>
                <w:szCs w:val="16"/>
                <w:lang w:eastAsia="tr-TR"/>
              </w:rPr>
            </w:pPr>
            <w:r w:rsidRPr="00120B00">
              <w:rPr>
                <w:rFonts w:ascii="Times New Roman" w:eastAsia="Times New Roman" w:hAnsi="Times New Roman" w:cs="Times New Roman"/>
                <w:sz w:val="16"/>
                <w:szCs w:val="16"/>
                <w:lang w:eastAsia="tr-TR"/>
              </w:rPr>
              <w:t>Çok Memnunum</w:t>
            </w:r>
          </w:p>
        </w:tc>
        <w:tc>
          <w:tcPr>
            <w:tcW w:w="687" w:type="dxa"/>
            <w:tcBorders>
              <w:top w:val="single" w:sz="4" w:space="0" w:color="auto"/>
              <w:left w:val="nil"/>
              <w:bottom w:val="single" w:sz="4" w:space="0" w:color="auto"/>
              <w:right w:val="single" w:sz="4" w:space="0" w:color="auto"/>
            </w:tcBorders>
            <w:shd w:val="clear" w:color="000000" w:fill="4BACC6"/>
            <w:textDirection w:val="tbRl"/>
            <w:vAlign w:val="center"/>
            <w:hideMark/>
          </w:tcPr>
          <w:p w:rsidR="00120B00" w:rsidRPr="00120B00" w:rsidRDefault="00120B00" w:rsidP="00E500EA">
            <w:pPr>
              <w:spacing w:after="0" w:line="240" w:lineRule="auto"/>
              <w:ind w:left="113" w:right="113"/>
              <w:jc w:val="center"/>
              <w:rPr>
                <w:rFonts w:ascii="Times New Roman" w:eastAsia="Times New Roman" w:hAnsi="Times New Roman" w:cs="Times New Roman"/>
                <w:sz w:val="16"/>
                <w:szCs w:val="16"/>
                <w:lang w:eastAsia="tr-TR"/>
              </w:rPr>
            </w:pPr>
            <w:r w:rsidRPr="00120B00">
              <w:rPr>
                <w:rFonts w:ascii="Times New Roman" w:eastAsia="Times New Roman" w:hAnsi="Times New Roman" w:cs="Times New Roman"/>
                <w:sz w:val="16"/>
                <w:szCs w:val="16"/>
                <w:lang w:eastAsia="tr-TR"/>
              </w:rPr>
              <w:t>Memnunum</w:t>
            </w:r>
          </w:p>
        </w:tc>
        <w:tc>
          <w:tcPr>
            <w:tcW w:w="973" w:type="dxa"/>
            <w:tcBorders>
              <w:top w:val="single" w:sz="4" w:space="0" w:color="auto"/>
              <w:left w:val="nil"/>
              <w:bottom w:val="single" w:sz="4" w:space="0" w:color="auto"/>
              <w:right w:val="single" w:sz="4" w:space="0" w:color="auto"/>
            </w:tcBorders>
            <w:shd w:val="clear" w:color="000000" w:fill="4BACC6"/>
            <w:textDirection w:val="tbRl"/>
            <w:vAlign w:val="center"/>
            <w:hideMark/>
          </w:tcPr>
          <w:p w:rsidR="00120B00" w:rsidRPr="00120B00" w:rsidRDefault="00120B00" w:rsidP="00E500EA">
            <w:pPr>
              <w:spacing w:after="0" w:line="240" w:lineRule="auto"/>
              <w:ind w:left="113" w:right="113"/>
              <w:jc w:val="center"/>
              <w:rPr>
                <w:rFonts w:ascii="Times New Roman" w:eastAsia="Times New Roman" w:hAnsi="Times New Roman" w:cs="Times New Roman"/>
                <w:sz w:val="16"/>
                <w:szCs w:val="16"/>
                <w:lang w:eastAsia="tr-TR"/>
              </w:rPr>
            </w:pPr>
            <w:r w:rsidRPr="00120B00">
              <w:rPr>
                <w:rFonts w:ascii="Times New Roman" w:eastAsia="Times New Roman" w:hAnsi="Times New Roman" w:cs="Times New Roman"/>
                <w:sz w:val="16"/>
                <w:szCs w:val="16"/>
                <w:lang w:eastAsia="tr-TR"/>
              </w:rPr>
              <w:t>Kararsızım</w:t>
            </w:r>
          </w:p>
        </w:tc>
        <w:tc>
          <w:tcPr>
            <w:tcW w:w="646" w:type="dxa"/>
            <w:tcBorders>
              <w:top w:val="single" w:sz="4" w:space="0" w:color="auto"/>
              <w:left w:val="nil"/>
              <w:bottom w:val="single" w:sz="4" w:space="0" w:color="auto"/>
              <w:right w:val="single" w:sz="4" w:space="0" w:color="auto"/>
            </w:tcBorders>
            <w:shd w:val="clear" w:color="000000" w:fill="4BACC6"/>
            <w:textDirection w:val="tbRl"/>
            <w:vAlign w:val="center"/>
            <w:hideMark/>
          </w:tcPr>
          <w:p w:rsidR="00120B00" w:rsidRPr="00120B00" w:rsidRDefault="00120B00" w:rsidP="00E500EA">
            <w:pPr>
              <w:spacing w:after="0" w:line="240" w:lineRule="auto"/>
              <w:ind w:left="113" w:right="113"/>
              <w:jc w:val="center"/>
              <w:rPr>
                <w:rFonts w:ascii="Times New Roman" w:eastAsia="Times New Roman" w:hAnsi="Times New Roman" w:cs="Times New Roman"/>
                <w:sz w:val="16"/>
                <w:szCs w:val="16"/>
                <w:lang w:eastAsia="tr-TR"/>
              </w:rPr>
            </w:pPr>
            <w:r w:rsidRPr="00120B00">
              <w:rPr>
                <w:rFonts w:ascii="Times New Roman" w:eastAsia="Times New Roman" w:hAnsi="Times New Roman" w:cs="Times New Roman"/>
                <w:sz w:val="16"/>
                <w:szCs w:val="16"/>
                <w:lang w:eastAsia="tr-TR"/>
              </w:rPr>
              <w:t>Memnun Değilim</w:t>
            </w:r>
          </w:p>
        </w:tc>
        <w:tc>
          <w:tcPr>
            <w:tcW w:w="701" w:type="dxa"/>
            <w:tcBorders>
              <w:top w:val="single" w:sz="4" w:space="0" w:color="auto"/>
              <w:left w:val="nil"/>
              <w:bottom w:val="single" w:sz="4" w:space="0" w:color="auto"/>
              <w:right w:val="single" w:sz="4" w:space="0" w:color="auto"/>
            </w:tcBorders>
            <w:shd w:val="clear" w:color="000000" w:fill="4BACC6"/>
            <w:textDirection w:val="tbRl"/>
            <w:vAlign w:val="center"/>
            <w:hideMark/>
          </w:tcPr>
          <w:p w:rsidR="00120B00" w:rsidRPr="00120B00" w:rsidRDefault="00120B00" w:rsidP="00E500EA">
            <w:pPr>
              <w:spacing w:after="0" w:line="240" w:lineRule="auto"/>
              <w:ind w:left="113" w:right="113"/>
              <w:jc w:val="center"/>
              <w:rPr>
                <w:rFonts w:ascii="Times New Roman" w:eastAsia="Times New Roman" w:hAnsi="Times New Roman" w:cs="Times New Roman"/>
                <w:sz w:val="16"/>
                <w:szCs w:val="16"/>
                <w:lang w:eastAsia="tr-TR"/>
              </w:rPr>
            </w:pPr>
            <w:r w:rsidRPr="00120B00">
              <w:rPr>
                <w:rFonts w:ascii="Times New Roman" w:eastAsia="Times New Roman" w:hAnsi="Times New Roman" w:cs="Times New Roman"/>
                <w:sz w:val="16"/>
                <w:szCs w:val="16"/>
                <w:lang w:eastAsia="tr-TR"/>
              </w:rPr>
              <w:t>Hiç Memnun Değilim</w:t>
            </w:r>
          </w:p>
        </w:tc>
      </w:tr>
      <w:tr w:rsidR="00E500EA" w:rsidRPr="00120B00" w:rsidTr="00E500EA">
        <w:trPr>
          <w:trHeight w:val="261"/>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rsidR="00120B00" w:rsidRPr="00120B00" w:rsidRDefault="00120B00" w:rsidP="00120B00">
            <w:pPr>
              <w:spacing w:after="0" w:line="240" w:lineRule="auto"/>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1</w:t>
            </w:r>
          </w:p>
        </w:tc>
        <w:tc>
          <w:tcPr>
            <w:tcW w:w="6650" w:type="dxa"/>
            <w:tcBorders>
              <w:top w:val="nil"/>
              <w:left w:val="nil"/>
              <w:bottom w:val="single" w:sz="4" w:space="0" w:color="auto"/>
              <w:right w:val="single" w:sz="4" w:space="0" w:color="auto"/>
            </w:tcBorders>
            <w:shd w:val="clear" w:color="auto" w:fill="auto"/>
            <w:noWrap/>
            <w:hideMark/>
          </w:tcPr>
          <w:p w:rsidR="00120B00" w:rsidRPr="00120B00" w:rsidRDefault="00120B00" w:rsidP="00120B00">
            <w:pPr>
              <w:spacing w:after="0" w:line="240" w:lineRule="auto"/>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Üniversitenin akademik yükseltme ölçütlerinden</w:t>
            </w:r>
          </w:p>
        </w:tc>
        <w:tc>
          <w:tcPr>
            <w:tcW w:w="831" w:type="dxa"/>
            <w:tcBorders>
              <w:top w:val="single" w:sz="4" w:space="0" w:color="auto"/>
              <w:left w:val="single" w:sz="4" w:space="0" w:color="auto"/>
              <w:bottom w:val="single" w:sz="4" w:space="0" w:color="auto"/>
              <w:right w:val="single" w:sz="4" w:space="0" w:color="auto"/>
            </w:tcBorders>
            <w:shd w:val="clear" w:color="000000" w:fill="EFF7F4"/>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6%</w:t>
            </w:r>
          </w:p>
        </w:tc>
        <w:tc>
          <w:tcPr>
            <w:tcW w:w="687" w:type="dxa"/>
            <w:tcBorders>
              <w:top w:val="single" w:sz="4" w:space="0" w:color="auto"/>
              <w:left w:val="single" w:sz="4" w:space="0" w:color="auto"/>
              <w:bottom w:val="single" w:sz="4" w:space="0" w:color="auto"/>
              <w:right w:val="single" w:sz="4" w:space="0" w:color="auto"/>
            </w:tcBorders>
            <w:shd w:val="clear" w:color="000000" w:fill="D5EDDD"/>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19%</w:t>
            </w:r>
          </w:p>
        </w:tc>
        <w:tc>
          <w:tcPr>
            <w:tcW w:w="973" w:type="dxa"/>
            <w:tcBorders>
              <w:top w:val="single" w:sz="4" w:space="0" w:color="auto"/>
              <w:left w:val="single" w:sz="4" w:space="0" w:color="auto"/>
              <w:bottom w:val="single" w:sz="4" w:space="0" w:color="auto"/>
              <w:right w:val="single" w:sz="4" w:space="0" w:color="auto"/>
            </w:tcBorders>
            <w:shd w:val="clear" w:color="000000" w:fill="C8E7D2"/>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25%</w:t>
            </w:r>
          </w:p>
        </w:tc>
        <w:tc>
          <w:tcPr>
            <w:tcW w:w="646" w:type="dxa"/>
            <w:tcBorders>
              <w:top w:val="single" w:sz="4" w:space="0" w:color="auto"/>
              <w:left w:val="single" w:sz="4" w:space="0" w:color="auto"/>
              <w:bottom w:val="single" w:sz="4" w:space="0" w:color="auto"/>
              <w:right w:val="single" w:sz="4" w:space="0" w:color="auto"/>
            </w:tcBorders>
            <w:shd w:val="clear" w:color="000000" w:fill="C8E7D2"/>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25%</w:t>
            </w:r>
          </w:p>
        </w:tc>
        <w:tc>
          <w:tcPr>
            <w:tcW w:w="701" w:type="dxa"/>
            <w:tcBorders>
              <w:top w:val="single" w:sz="4" w:space="0" w:color="auto"/>
              <w:left w:val="single" w:sz="4" w:space="0" w:color="auto"/>
              <w:bottom w:val="single" w:sz="4" w:space="0" w:color="auto"/>
              <w:right w:val="single" w:sz="4" w:space="0" w:color="auto"/>
            </w:tcBorders>
            <w:shd w:val="clear" w:color="000000" w:fill="BFE3CA"/>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29%</w:t>
            </w:r>
          </w:p>
        </w:tc>
      </w:tr>
      <w:tr w:rsidR="00E500EA" w:rsidRPr="00120B00" w:rsidTr="00E500EA">
        <w:trPr>
          <w:trHeight w:val="261"/>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rsidR="00120B00" w:rsidRPr="00120B00" w:rsidRDefault="00120B00" w:rsidP="00120B00">
            <w:pPr>
              <w:spacing w:after="0" w:line="240" w:lineRule="auto"/>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2</w:t>
            </w:r>
          </w:p>
        </w:tc>
        <w:tc>
          <w:tcPr>
            <w:tcW w:w="6650" w:type="dxa"/>
            <w:tcBorders>
              <w:top w:val="nil"/>
              <w:left w:val="nil"/>
              <w:bottom w:val="single" w:sz="4" w:space="0" w:color="auto"/>
              <w:right w:val="single" w:sz="4" w:space="0" w:color="auto"/>
            </w:tcBorders>
            <w:shd w:val="clear" w:color="auto" w:fill="auto"/>
            <w:noWrap/>
            <w:hideMark/>
          </w:tcPr>
          <w:p w:rsidR="00120B00" w:rsidRPr="00120B00" w:rsidRDefault="00120B00" w:rsidP="00120B00">
            <w:pPr>
              <w:spacing w:after="0" w:line="240" w:lineRule="auto"/>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Fikirlerin rahatça ifade edilebilmesinden</w:t>
            </w:r>
          </w:p>
        </w:tc>
        <w:tc>
          <w:tcPr>
            <w:tcW w:w="831" w:type="dxa"/>
            <w:tcBorders>
              <w:top w:val="single" w:sz="4" w:space="0" w:color="auto"/>
              <w:left w:val="single" w:sz="4" w:space="0" w:color="auto"/>
              <w:bottom w:val="single" w:sz="4" w:space="0" w:color="auto"/>
              <w:right w:val="single" w:sz="4" w:space="0" w:color="auto"/>
            </w:tcBorders>
            <w:shd w:val="clear" w:color="000000" w:fill="E2F2E9"/>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13%</w:t>
            </w:r>
          </w:p>
        </w:tc>
        <w:tc>
          <w:tcPr>
            <w:tcW w:w="687" w:type="dxa"/>
            <w:tcBorders>
              <w:top w:val="single" w:sz="4" w:space="0" w:color="auto"/>
              <w:left w:val="single" w:sz="4" w:space="0" w:color="auto"/>
              <w:bottom w:val="single" w:sz="4" w:space="0" w:color="auto"/>
              <w:right w:val="single" w:sz="4" w:space="0" w:color="auto"/>
            </w:tcBorders>
            <w:shd w:val="clear" w:color="000000" w:fill="93D2A5"/>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50%</w:t>
            </w:r>
          </w:p>
        </w:tc>
        <w:tc>
          <w:tcPr>
            <w:tcW w:w="973" w:type="dxa"/>
            <w:tcBorders>
              <w:top w:val="single" w:sz="4" w:space="0" w:color="auto"/>
              <w:left w:val="single" w:sz="4" w:space="0" w:color="auto"/>
              <w:bottom w:val="single" w:sz="4" w:space="0" w:color="auto"/>
              <w:right w:val="single" w:sz="4" w:space="0" w:color="auto"/>
            </w:tcBorders>
            <w:shd w:val="clear" w:color="000000" w:fill="A0D7B0"/>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44%</w:t>
            </w:r>
          </w:p>
        </w:tc>
        <w:tc>
          <w:tcPr>
            <w:tcW w:w="646" w:type="dxa"/>
            <w:tcBorders>
              <w:top w:val="single" w:sz="4" w:space="0" w:color="auto"/>
              <w:left w:val="single" w:sz="4" w:space="0" w:color="auto"/>
              <w:bottom w:val="single" w:sz="4" w:space="0" w:color="auto"/>
              <w:right w:val="single" w:sz="4" w:space="0" w:color="auto"/>
            </w:tcBorders>
            <w:shd w:val="clear" w:color="000000" w:fill="FCFCFF"/>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0%</w:t>
            </w:r>
          </w:p>
        </w:tc>
        <w:tc>
          <w:tcPr>
            <w:tcW w:w="701" w:type="dxa"/>
            <w:tcBorders>
              <w:top w:val="single" w:sz="4" w:space="0" w:color="auto"/>
              <w:left w:val="single" w:sz="4" w:space="0" w:color="auto"/>
              <w:bottom w:val="single" w:sz="4" w:space="0" w:color="auto"/>
              <w:right w:val="single" w:sz="4" w:space="0" w:color="auto"/>
            </w:tcBorders>
            <w:shd w:val="clear" w:color="000000" w:fill="F0F7F5"/>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6%</w:t>
            </w:r>
          </w:p>
        </w:tc>
      </w:tr>
      <w:tr w:rsidR="00E500EA" w:rsidRPr="00120B00" w:rsidTr="00E500EA">
        <w:trPr>
          <w:trHeight w:val="261"/>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rsidR="00120B00" w:rsidRPr="00120B00" w:rsidRDefault="00120B00" w:rsidP="00120B00">
            <w:pPr>
              <w:spacing w:after="0" w:line="240" w:lineRule="auto"/>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3</w:t>
            </w:r>
          </w:p>
        </w:tc>
        <w:tc>
          <w:tcPr>
            <w:tcW w:w="6650" w:type="dxa"/>
            <w:tcBorders>
              <w:top w:val="nil"/>
              <w:left w:val="nil"/>
              <w:bottom w:val="single" w:sz="4" w:space="0" w:color="auto"/>
              <w:right w:val="single" w:sz="4" w:space="0" w:color="auto"/>
            </w:tcBorders>
            <w:shd w:val="clear" w:color="auto" w:fill="auto"/>
            <w:noWrap/>
            <w:hideMark/>
          </w:tcPr>
          <w:p w:rsidR="00120B00" w:rsidRPr="00120B00" w:rsidRDefault="00120B00" w:rsidP="00120B00">
            <w:pPr>
              <w:spacing w:after="0" w:line="240" w:lineRule="auto"/>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İdari görevlendirmelerinin yetkinlikler çerçevesinde yapılıyor olmasından</w:t>
            </w:r>
          </w:p>
        </w:tc>
        <w:tc>
          <w:tcPr>
            <w:tcW w:w="831" w:type="dxa"/>
            <w:tcBorders>
              <w:top w:val="single" w:sz="4" w:space="0" w:color="auto"/>
              <w:left w:val="single" w:sz="4" w:space="0" w:color="auto"/>
              <w:bottom w:val="single" w:sz="4" w:space="0" w:color="auto"/>
              <w:right w:val="single" w:sz="4" w:space="0" w:color="auto"/>
            </w:tcBorders>
            <w:shd w:val="clear" w:color="000000" w:fill="E2F2E9"/>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13%</w:t>
            </w:r>
          </w:p>
        </w:tc>
        <w:tc>
          <w:tcPr>
            <w:tcW w:w="687" w:type="dxa"/>
            <w:tcBorders>
              <w:top w:val="single" w:sz="4" w:space="0" w:color="auto"/>
              <w:left w:val="single" w:sz="4" w:space="0" w:color="auto"/>
              <w:bottom w:val="single" w:sz="4" w:space="0" w:color="auto"/>
              <w:right w:val="single" w:sz="4" w:space="0" w:color="auto"/>
            </w:tcBorders>
            <w:shd w:val="clear" w:color="000000" w:fill="AEDDBB"/>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38%</w:t>
            </w:r>
          </w:p>
        </w:tc>
        <w:tc>
          <w:tcPr>
            <w:tcW w:w="973" w:type="dxa"/>
            <w:tcBorders>
              <w:top w:val="single" w:sz="4" w:space="0" w:color="auto"/>
              <w:left w:val="single" w:sz="4" w:space="0" w:color="auto"/>
              <w:bottom w:val="single" w:sz="4" w:space="0" w:color="auto"/>
              <w:right w:val="single" w:sz="4" w:space="0" w:color="auto"/>
            </w:tcBorders>
            <w:shd w:val="clear" w:color="000000" w:fill="A0D7B0"/>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44%</w:t>
            </w:r>
          </w:p>
        </w:tc>
        <w:tc>
          <w:tcPr>
            <w:tcW w:w="646" w:type="dxa"/>
            <w:tcBorders>
              <w:top w:val="single" w:sz="4" w:space="0" w:color="auto"/>
              <w:left w:val="single" w:sz="4" w:space="0" w:color="auto"/>
              <w:bottom w:val="single" w:sz="4" w:space="0" w:color="auto"/>
              <w:right w:val="single" w:sz="4" w:space="0" w:color="auto"/>
            </w:tcBorders>
            <w:shd w:val="clear" w:color="000000" w:fill="E2F2E9"/>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13%</w:t>
            </w:r>
          </w:p>
        </w:tc>
        <w:tc>
          <w:tcPr>
            <w:tcW w:w="701" w:type="dxa"/>
            <w:tcBorders>
              <w:top w:val="single" w:sz="4" w:space="0" w:color="auto"/>
              <w:left w:val="single" w:sz="4" w:space="0" w:color="auto"/>
              <w:bottom w:val="single" w:sz="4" w:space="0" w:color="auto"/>
              <w:right w:val="single" w:sz="4" w:space="0" w:color="auto"/>
            </w:tcBorders>
            <w:shd w:val="clear" w:color="000000" w:fill="F0F7F5"/>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6%</w:t>
            </w:r>
          </w:p>
        </w:tc>
      </w:tr>
      <w:tr w:rsidR="00E500EA" w:rsidRPr="00120B00" w:rsidTr="00E500EA">
        <w:trPr>
          <w:trHeight w:val="261"/>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rsidR="00120B00" w:rsidRPr="00120B00" w:rsidRDefault="00120B00" w:rsidP="00120B00">
            <w:pPr>
              <w:spacing w:after="0" w:line="240" w:lineRule="auto"/>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4</w:t>
            </w:r>
          </w:p>
        </w:tc>
        <w:tc>
          <w:tcPr>
            <w:tcW w:w="6650" w:type="dxa"/>
            <w:tcBorders>
              <w:top w:val="nil"/>
              <w:left w:val="nil"/>
              <w:bottom w:val="single" w:sz="4" w:space="0" w:color="auto"/>
              <w:right w:val="single" w:sz="4" w:space="0" w:color="auto"/>
            </w:tcBorders>
            <w:shd w:val="clear" w:color="auto" w:fill="auto"/>
            <w:noWrap/>
            <w:hideMark/>
          </w:tcPr>
          <w:p w:rsidR="00120B00" w:rsidRPr="00120B00" w:rsidRDefault="00120B00" w:rsidP="00120B00">
            <w:pPr>
              <w:spacing w:after="0" w:line="240" w:lineRule="auto"/>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İdari ve destek personelinin görev ve sorumluluklarını zamanında yerine getirmesinden</w:t>
            </w:r>
          </w:p>
        </w:tc>
        <w:tc>
          <w:tcPr>
            <w:tcW w:w="831" w:type="dxa"/>
            <w:tcBorders>
              <w:top w:val="single" w:sz="4" w:space="0" w:color="auto"/>
              <w:left w:val="single" w:sz="4" w:space="0" w:color="auto"/>
              <w:bottom w:val="single" w:sz="4" w:space="0" w:color="auto"/>
              <w:right w:val="single" w:sz="4" w:space="0" w:color="auto"/>
            </w:tcBorders>
            <w:shd w:val="clear" w:color="000000" w:fill="D2EBDB"/>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20%</w:t>
            </w:r>
          </w:p>
        </w:tc>
        <w:tc>
          <w:tcPr>
            <w:tcW w:w="687" w:type="dxa"/>
            <w:tcBorders>
              <w:top w:val="single" w:sz="4" w:space="0" w:color="auto"/>
              <w:left w:val="single" w:sz="4" w:space="0" w:color="auto"/>
              <w:bottom w:val="single" w:sz="4" w:space="0" w:color="auto"/>
              <w:right w:val="single" w:sz="4" w:space="0" w:color="auto"/>
            </w:tcBorders>
            <w:shd w:val="clear" w:color="000000" w:fill="A8DAB7"/>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40%</w:t>
            </w:r>
          </w:p>
        </w:tc>
        <w:tc>
          <w:tcPr>
            <w:tcW w:w="973" w:type="dxa"/>
            <w:tcBorders>
              <w:top w:val="single" w:sz="4" w:space="0" w:color="auto"/>
              <w:left w:val="single" w:sz="4" w:space="0" w:color="auto"/>
              <w:bottom w:val="single" w:sz="4" w:space="0" w:color="auto"/>
              <w:right w:val="single" w:sz="4" w:space="0" w:color="auto"/>
            </w:tcBorders>
            <w:shd w:val="clear" w:color="000000" w:fill="B6E0C3"/>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33%</w:t>
            </w:r>
          </w:p>
        </w:tc>
        <w:tc>
          <w:tcPr>
            <w:tcW w:w="646" w:type="dxa"/>
            <w:tcBorders>
              <w:top w:val="single" w:sz="4" w:space="0" w:color="auto"/>
              <w:left w:val="single" w:sz="4" w:space="0" w:color="auto"/>
              <w:bottom w:val="single" w:sz="4" w:space="0" w:color="auto"/>
              <w:right w:val="single" w:sz="4" w:space="0" w:color="auto"/>
            </w:tcBorders>
            <w:shd w:val="clear" w:color="000000" w:fill="EEF7F3"/>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7%</w:t>
            </w:r>
          </w:p>
        </w:tc>
        <w:tc>
          <w:tcPr>
            <w:tcW w:w="701" w:type="dxa"/>
            <w:tcBorders>
              <w:top w:val="single" w:sz="4" w:space="0" w:color="auto"/>
              <w:left w:val="single" w:sz="4" w:space="0" w:color="auto"/>
              <w:bottom w:val="single" w:sz="4" w:space="0" w:color="auto"/>
              <w:right w:val="single" w:sz="4" w:space="0" w:color="auto"/>
            </w:tcBorders>
            <w:shd w:val="clear" w:color="000000" w:fill="D7EDDF"/>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18%</w:t>
            </w:r>
          </w:p>
        </w:tc>
      </w:tr>
      <w:tr w:rsidR="00E500EA" w:rsidRPr="00120B00" w:rsidTr="00E500EA">
        <w:trPr>
          <w:trHeight w:val="261"/>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rsidR="00120B00" w:rsidRPr="00120B00" w:rsidRDefault="00120B00" w:rsidP="00120B00">
            <w:pPr>
              <w:spacing w:after="0" w:line="240" w:lineRule="auto"/>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5</w:t>
            </w:r>
          </w:p>
        </w:tc>
        <w:tc>
          <w:tcPr>
            <w:tcW w:w="6650" w:type="dxa"/>
            <w:tcBorders>
              <w:top w:val="nil"/>
              <w:left w:val="nil"/>
              <w:bottom w:val="single" w:sz="4" w:space="0" w:color="auto"/>
              <w:right w:val="single" w:sz="4" w:space="0" w:color="auto"/>
            </w:tcBorders>
            <w:shd w:val="clear" w:color="auto" w:fill="auto"/>
            <w:noWrap/>
            <w:hideMark/>
          </w:tcPr>
          <w:p w:rsidR="00120B00" w:rsidRPr="00120B00" w:rsidRDefault="00120B00" w:rsidP="00120B00">
            <w:pPr>
              <w:spacing w:after="0" w:line="240" w:lineRule="auto"/>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Kurum içi iletişimin yeteri düzeyde sağlanabiliyor olmasından</w:t>
            </w:r>
          </w:p>
        </w:tc>
        <w:tc>
          <w:tcPr>
            <w:tcW w:w="831" w:type="dxa"/>
            <w:tcBorders>
              <w:top w:val="single" w:sz="4" w:space="0" w:color="auto"/>
              <w:left w:val="single" w:sz="4" w:space="0" w:color="auto"/>
              <w:bottom w:val="single" w:sz="4" w:space="0" w:color="auto"/>
              <w:right w:val="single" w:sz="4" w:space="0" w:color="auto"/>
            </w:tcBorders>
            <w:shd w:val="clear" w:color="000000" w:fill="E0F1E7"/>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13%</w:t>
            </w:r>
          </w:p>
        </w:tc>
        <w:tc>
          <w:tcPr>
            <w:tcW w:w="687" w:type="dxa"/>
            <w:tcBorders>
              <w:top w:val="single" w:sz="4" w:space="0" w:color="auto"/>
              <w:left w:val="single" w:sz="4" w:space="0" w:color="auto"/>
              <w:bottom w:val="single" w:sz="4" w:space="0" w:color="auto"/>
              <w:right w:val="single" w:sz="4" w:space="0" w:color="auto"/>
            </w:tcBorders>
            <w:shd w:val="clear" w:color="000000" w:fill="B6E0C3"/>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33%</w:t>
            </w:r>
          </w:p>
        </w:tc>
        <w:tc>
          <w:tcPr>
            <w:tcW w:w="973" w:type="dxa"/>
            <w:tcBorders>
              <w:top w:val="single" w:sz="4" w:space="0" w:color="auto"/>
              <w:left w:val="single" w:sz="4" w:space="0" w:color="auto"/>
              <w:bottom w:val="single" w:sz="4" w:space="0" w:color="auto"/>
              <w:right w:val="single" w:sz="4" w:space="0" w:color="auto"/>
            </w:tcBorders>
            <w:shd w:val="clear" w:color="000000" w:fill="9AD5AB"/>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47%</w:t>
            </w:r>
          </w:p>
        </w:tc>
        <w:tc>
          <w:tcPr>
            <w:tcW w:w="646" w:type="dxa"/>
            <w:tcBorders>
              <w:top w:val="single" w:sz="4" w:space="0" w:color="auto"/>
              <w:left w:val="single" w:sz="4" w:space="0" w:color="auto"/>
              <w:bottom w:val="single" w:sz="4" w:space="0" w:color="auto"/>
              <w:right w:val="single" w:sz="4" w:space="0" w:color="auto"/>
            </w:tcBorders>
            <w:shd w:val="clear" w:color="000000" w:fill="EEF7F3"/>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7%</w:t>
            </w:r>
          </w:p>
        </w:tc>
        <w:tc>
          <w:tcPr>
            <w:tcW w:w="701" w:type="dxa"/>
            <w:tcBorders>
              <w:top w:val="single" w:sz="4" w:space="0" w:color="auto"/>
              <w:left w:val="single" w:sz="4" w:space="0" w:color="auto"/>
              <w:bottom w:val="single" w:sz="4" w:space="0" w:color="auto"/>
              <w:right w:val="single" w:sz="4" w:space="0" w:color="auto"/>
            </w:tcBorders>
            <w:shd w:val="clear" w:color="000000" w:fill="E4F2EA"/>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12%</w:t>
            </w:r>
          </w:p>
        </w:tc>
      </w:tr>
      <w:tr w:rsidR="00E500EA" w:rsidRPr="00120B00" w:rsidTr="00E500EA">
        <w:trPr>
          <w:trHeight w:val="261"/>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rsidR="00120B00" w:rsidRPr="00120B00" w:rsidRDefault="00120B00" w:rsidP="00120B00">
            <w:pPr>
              <w:spacing w:after="0" w:line="240" w:lineRule="auto"/>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6</w:t>
            </w:r>
          </w:p>
        </w:tc>
        <w:tc>
          <w:tcPr>
            <w:tcW w:w="6650" w:type="dxa"/>
            <w:tcBorders>
              <w:top w:val="nil"/>
              <w:left w:val="nil"/>
              <w:bottom w:val="single" w:sz="4" w:space="0" w:color="auto"/>
              <w:right w:val="single" w:sz="4" w:space="0" w:color="auto"/>
            </w:tcBorders>
            <w:shd w:val="clear" w:color="auto" w:fill="auto"/>
            <w:noWrap/>
            <w:hideMark/>
          </w:tcPr>
          <w:p w:rsidR="00120B00" w:rsidRPr="00120B00" w:rsidRDefault="00120B00" w:rsidP="00120B00">
            <w:pPr>
              <w:spacing w:after="0" w:line="240" w:lineRule="auto"/>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Birim yöneticilerinin, iş kalitesini arttırmaya yönelik çalışmalarından</w:t>
            </w:r>
          </w:p>
        </w:tc>
        <w:tc>
          <w:tcPr>
            <w:tcW w:w="831" w:type="dxa"/>
            <w:tcBorders>
              <w:top w:val="single" w:sz="4" w:space="0" w:color="auto"/>
              <w:left w:val="single" w:sz="4" w:space="0" w:color="auto"/>
              <w:bottom w:val="single" w:sz="4" w:space="0" w:color="auto"/>
              <w:right w:val="single" w:sz="4" w:space="0" w:color="auto"/>
            </w:tcBorders>
            <w:shd w:val="clear" w:color="000000" w:fill="D2EBDB"/>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20%</w:t>
            </w:r>
          </w:p>
        </w:tc>
        <w:tc>
          <w:tcPr>
            <w:tcW w:w="687" w:type="dxa"/>
            <w:tcBorders>
              <w:top w:val="single" w:sz="4" w:space="0" w:color="auto"/>
              <w:left w:val="single" w:sz="4" w:space="0" w:color="auto"/>
              <w:bottom w:val="single" w:sz="4" w:space="0" w:color="auto"/>
              <w:right w:val="single" w:sz="4" w:space="0" w:color="auto"/>
            </w:tcBorders>
            <w:shd w:val="clear" w:color="000000" w:fill="7EC993"/>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60%</w:t>
            </w:r>
          </w:p>
        </w:tc>
        <w:tc>
          <w:tcPr>
            <w:tcW w:w="973" w:type="dxa"/>
            <w:tcBorders>
              <w:top w:val="single" w:sz="4" w:space="0" w:color="auto"/>
              <w:left w:val="single" w:sz="4" w:space="0" w:color="auto"/>
              <w:bottom w:val="single" w:sz="4" w:space="0" w:color="auto"/>
              <w:right w:val="single" w:sz="4" w:space="0" w:color="auto"/>
            </w:tcBorders>
            <w:shd w:val="clear" w:color="000000" w:fill="B6E0C3"/>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33%</w:t>
            </w:r>
          </w:p>
        </w:tc>
        <w:tc>
          <w:tcPr>
            <w:tcW w:w="646" w:type="dxa"/>
            <w:tcBorders>
              <w:top w:val="single" w:sz="4" w:space="0" w:color="auto"/>
              <w:left w:val="single" w:sz="4" w:space="0" w:color="auto"/>
              <w:bottom w:val="single" w:sz="4" w:space="0" w:color="auto"/>
              <w:right w:val="single" w:sz="4" w:space="0" w:color="auto"/>
            </w:tcBorders>
            <w:shd w:val="clear" w:color="000000" w:fill="FCFCFF"/>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0%</w:t>
            </w:r>
          </w:p>
        </w:tc>
        <w:tc>
          <w:tcPr>
            <w:tcW w:w="701" w:type="dxa"/>
            <w:tcBorders>
              <w:top w:val="single" w:sz="4" w:space="0" w:color="auto"/>
              <w:left w:val="single" w:sz="4" w:space="0" w:color="auto"/>
              <w:bottom w:val="single" w:sz="4" w:space="0" w:color="auto"/>
              <w:right w:val="single" w:sz="4" w:space="0" w:color="auto"/>
            </w:tcBorders>
            <w:shd w:val="clear" w:color="000000" w:fill="F0F7F5"/>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6%</w:t>
            </w:r>
          </w:p>
        </w:tc>
      </w:tr>
      <w:tr w:rsidR="00E500EA" w:rsidRPr="00120B00" w:rsidTr="00E500EA">
        <w:trPr>
          <w:trHeight w:val="261"/>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rsidR="00120B00" w:rsidRPr="00120B00" w:rsidRDefault="00120B00" w:rsidP="00120B00">
            <w:pPr>
              <w:spacing w:after="0" w:line="240" w:lineRule="auto"/>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7</w:t>
            </w:r>
          </w:p>
        </w:tc>
        <w:tc>
          <w:tcPr>
            <w:tcW w:w="6650" w:type="dxa"/>
            <w:tcBorders>
              <w:top w:val="nil"/>
              <w:left w:val="nil"/>
              <w:bottom w:val="single" w:sz="4" w:space="0" w:color="auto"/>
              <w:right w:val="single" w:sz="4" w:space="0" w:color="auto"/>
            </w:tcBorders>
            <w:shd w:val="clear" w:color="auto" w:fill="auto"/>
            <w:noWrap/>
            <w:hideMark/>
          </w:tcPr>
          <w:p w:rsidR="00120B00" w:rsidRPr="00120B00" w:rsidRDefault="00120B00" w:rsidP="00120B00">
            <w:pPr>
              <w:spacing w:after="0" w:line="240" w:lineRule="auto"/>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Araştırma için gereken izinlerin alınma sürecinden</w:t>
            </w:r>
          </w:p>
        </w:tc>
        <w:tc>
          <w:tcPr>
            <w:tcW w:w="831" w:type="dxa"/>
            <w:tcBorders>
              <w:top w:val="single" w:sz="4" w:space="0" w:color="auto"/>
              <w:left w:val="single" w:sz="4" w:space="0" w:color="auto"/>
              <w:bottom w:val="single" w:sz="4" w:space="0" w:color="auto"/>
              <w:right w:val="single" w:sz="4" w:space="0" w:color="auto"/>
            </w:tcBorders>
            <w:shd w:val="clear" w:color="000000" w:fill="E2F2E9"/>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13%</w:t>
            </w:r>
          </w:p>
        </w:tc>
        <w:tc>
          <w:tcPr>
            <w:tcW w:w="687" w:type="dxa"/>
            <w:tcBorders>
              <w:top w:val="single" w:sz="4" w:space="0" w:color="auto"/>
              <w:left w:val="single" w:sz="4" w:space="0" w:color="auto"/>
              <w:bottom w:val="single" w:sz="4" w:space="0" w:color="auto"/>
              <w:right w:val="single" w:sz="4" w:space="0" w:color="auto"/>
            </w:tcBorders>
            <w:shd w:val="clear" w:color="000000" w:fill="AEDDBB"/>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38%</w:t>
            </w:r>
          </w:p>
        </w:tc>
        <w:tc>
          <w:tcPr>
            <w:tcW w:w="973" w:type="dxa"/>
            <w:tcBorders>
              <w:top w:val="single" w:sz="4" w:space="0" w:color="auto"/>
              <w:left w:val="single" w:sz="4" w:space="0" w:color="auto"/>
              <w:bottom w:val="single" w:sz="4" w:space="0" w:color="auto"/>
              <w:right w:val="single" w:sz="4" w:space="0" w:color="auto"/>
            </w:tcBorders>
            <w:shd w:val="clear" w:color="000000" w:fill="A0D7B0"/>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44%</w:t>
            </w:r>
          </w:p>
        </w:tc>
        <w:tc>
          <w:tcPr>
            <w:tcW w:w="646" w:type="dxa"/>
            <w:tcBorders>
              <w:top w:val="single" w:sz="4" w:space="0" w:color="auto"/>
              <w:left w:val="single" w:sz="4" w:space="0" w:color="auto"/>
              <w:bottom w:val="single" w:sz="4" w:space="0" w:color="auto"/>
              <w:right w:val="single" w:sz="4" w:space="0" w:color="auto"/>
            </w:tcBorders>
            <w:shd w:val="clear" w:color="000000" w:fill="FCFCFF"/>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0%</w:t>
            </w:r>
          </w:p>
        </w:tc>
        <w:tc>
          <w:tcPr>
            <w:tcW w:w="701" w:type="dxa"/>
            <w:tcBorders>
              <w:top w:val="single" w:sz="4" w:space="0" w:color="auto"/>
              <w:left w:val="single" w:sz="4" w:space="0" w:color="auto"/>
              <w:bottom w:val="single" w:sz="4" w:space="0" w:color="auto"/>
              <w:right w:val="single" w:sz="4" w:space="0" w:color="auto"/>
            </w:tcBorders>
            <w:shd w:val="clear" w:color="000000" w:fill="D7EDDF"/>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18%</w:t>
            </w:r>
          </w:p>
        </w:tc>
      </w:tr>
      <w:tr w:rsidR="00E500EA" w:rsidRPr="00120B00" w:rsidTr="00E500EA">
        <w:trPr>
          <w:trHeight w:val="261"/>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rsidR="00120B00" w:rsidRPr="00120B00" w:rsidRDefault="00120B00" w:rsidP="00120B00">
            <w:pPr>
              <w:spacing w:after="0" w:line="240" w:lineRule="auto"/>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8</w:t>
            </w:r>
          </w:p>
        </w:tc>
        <w:tc>
          <w:tcPr>
            <w:tcW w:w="6650" w:type="dxa"/>
            <w:tcBorders>
              <w:top w:val="nil"/>
              <w:left w:val="nil"/>
              <w:bottom w:val="single" w:sz="4" w:space="0" w:color="auto"/>
              <w:right w:val="single" w:sz="4" w:space="0" w:color="auto"/>
            </w:tcBorders>
            <w:shd w:val="clear" w:color="auto" w:fill="auto"/>
            <w:noWrap/>
            <w:hideMark/>
          </w:tcPr>
          <w:p w:rsidR="00120B00" w:rsidRPr="00120B00" w:rsidRDefault="00120B00" w:rsidP="00120B00">
            <w:pPr>
              <w:spacing w:after="0" w:line="240" w:lineRule="auto"/>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Araştırma laboratuvarlarının fiziksel koşullarından</w:t>
            </w:r>
          </w:p>
        </w:tc>
        <w:tc>
          <w:tcPr>
            <w:tcW w:w="831" w:type="dxa"/>
            <w:tcBorders>
              <w:top w:val="single" w:sz="4" w:space="0" w:color="auto"/>
              <w:left w:val="single" w:sz="4" w:space="0" w:color="auto"/>
              <w:bottom w:val="single" w:sz="4" w:space="0" w:color="auto"/>
              <w:right w:val="single" w:sz="4" w:space="0" w:color="auto"/>
            </w:tcBorders>
            <w:shd w:val="clear" w:color="000000" w:fill="F0F7F5"/>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6%</w:t>
            </w:r>
          </w:p>
        </w:tc>
        <w:tc>
          <w:tcPr>
            <w:tcW w:w="687" w:type="dxa"/>
            <w:tcBorders>
              <w:top w:val="single" w:sz="4" w:space="0" w:color="auto"/>
              <w:left w:val="single" w:sz="4" w:space="0" w:color="auto"/>
              <w:bottom w:val="single" w:sz="4" w:space="0" w:color="auto"/>
              <w:right w:val="single" w:sz="4" w:space="0" w:color="auto"/>
            </w:tcBorders>
            <w:shd w:val="clear" w:color="000000" w:fill="CBE8D5"/>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24%</w:t>
            </w:r>
          </w:p>
        </w:tc>
        <w:tc>
          <w:tcPr>
            <w:tcW w:w="973" w:type="dxa"/>
            <w:tcBorders>
              <w:top w:val="single" w:sz="4" w:space="0" w:color="auto"/>
              <w:left w:val="single" w:sz="4" w:space="0" w:color="auto"/>
              <w:bottom w:val="single" w:sz="4" w:space="0" w:color="auto"/>
              <w:right w:val="single" w:sz="4" w:space="0" w:color="auto"/>
            </w:tcBorders>
            <w:shd w:val="clear" w:color="000000" w:fill="A6D9B5"/>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41%</w:t>
            </w:r>
          </w:p>
        </w:tc>
        <w:tc>
          <w:tcPr>
            <w:tcW w:w="646" w:type="dxa"/>
            <w:tcBorders>
              <w:top w:val="single" w:sz="4" w:space="0" w:color="auto"/>
              <w:left w:val="single" w:sz="4" w:space="0" w:color="auto"/>
              <w:bottom w:val="single" w:sz="4" w:space="0" w:color="auto"/>
              <w:right w:val="single" w:sz="4" w:space="0" w:color="auto"/>
            </w:tcBorders>
            <w:shd w:val="clear" w:color="000000" w:fill="E4F2EA"/>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12%</w:t>
            </w:r>
          </w:p>
        </w:tc>
        <w:tc>
          <w:tcPr>
            <w:tcW w:w="701" w:type="dxa"/>
            <w:tcBorders>
              <w:top w:val="single" w:sz="4" w:space="0" w:color="auto"/>
              <w:left w:val="single" w:sz="4" w:space="0" w:color="auto"/>
              <w:bottom w:val="single" w:sz="4" w:space="0" w:color="auto"/>
              <w:right w:val="single" w:sz="4" w:space="0" w:color="auto"/>
            </w:tcBorders>
            <w:shd w:val="clear" w:color="000000" w:fill="CBE8D5"/>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24%</w:t>
            </w:r>
          </w:p>
        </w:tc>
      </w:tr>
      <w:tr w:rsidR="00E500EA" w:rsidRPr="00120B00" w:rsidTr="00E500EA">
        <w:trPr>
          <w:trHeight w:val="261"/>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rsidR="00120B00" w:rsidRPr="00120B00" w:rsidRDefault="00120B00" w:rsidP="00120B00">
            <w:pPr>
              <w:spacing w:after="0" w:line="240" w:lineRule="auto"/>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9</w:t>
            </w:r>
          </w:p>
        </w:tc>
        <w:tc>
          <w:tcPr>
            <w:tcW w:w="6650" w:type="dxa"/>
            <w:tcBorders>
              <w:top w:val="nil"/>
              <w:left w:val="nil"/>
              <w:bottom w:val="single" w:sz="4" w:space="0" w:color="auto"/>
              <w:right w:val="single" w:sz="4" w:space="0" w:color="auto"/>
            </w:tcBorders>
            <w:shd w:val="clear" w:color="auto" w:fill="auto"/>
            <w:noWrap/>
            <w:hideMark/>
          </w:tcPr>
          <w:p w:rsidR="00120B00" w:rsidRPr="00120B00" w:rsidRDefault="00120B00" w:rsidP="00120B00">
            <w:pPr>
              <w:spacing w:after="0" w:line="240" w:lineRule="auto"/>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Araştırma laboratuvarlarının yeterli sayıda bulunmasından</w:t>
            </w:r>
          </w:p>
        </w:tc>
        <w:tc>
          <w:tcPr>
            <w:tcW w:w="831" w:type="dxa"/>
            <w:tcBorders>
              <w:top w:val="single" w:sz="4" w:space="0" w:color="auto"/>
              <w:left w:val="single" w:sz="4" w:space="0" w:color="auto"/>
              <w:bottom w:val="single" w:sz="4" w:space="0" w:color="auto"/>
              <w:right w:val="single" w:sz="4" w:space="0" w:color="auto"/>
            </w:tcBorders>
            <w:shd w:val="clear" w:color="000000" w:fill="EFF7F4"/>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6%</w:t>
            </w:r>
          </w:p>
        </w:tc>
        <w:tc>
          <w:tcPr>
            <w:tcW w:w="687" w:type="dxa"/>
            <w:tcBorders>
              <w:top w:val="single" w:sz="4" w:space="0" w:color="auto"/>
              <w:left w:val="single" w:sz="4" w:space="0" w:color="auto"/>
              <w:bottom w:val="single" w:sz="4" w:space="0" w:color="auto"/>
              <w:right w:val="single" w:sz="4" w:space="0" w:color="auto"/>
            </w:tcBorders>
            <w:shd w:val="clear" w:color="000000" w:fill="D5EDDD"/>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19%</w:t>
            </w:r>
          </w:p>
        </w:tc>
        <w:tc>
          <w:tcPr>
            <w:tcW w:w="973" w:type="dxa"/>
            <w:tcBorders>
              <w:top w:val="single" w:sz="4" w:space="0" w:color="auto"/>
              <w:left w:val="single" w:sz="4" w:space="0" w:color="auto"/>
              <w:bottom w:val="single" w:sz="4" w:space="0" w:color="auto"/>
              <w:right w:val="single" w:sz="4" w:space="0" w:color="auto"/>
            </w:tcBorders>
            <w:shd w:val="clear" w:color="000000" w:fill="86CD99"/>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56%</w:t>
            </w:r>
          </w:p>
        </w:tc>
        <w:tc>
          <w:tcPr>
            <w:tcW w:w="646" w:type="dxa"/>
            <w:tcBorders>
              <w:top w:val="single" w:sz="4" w:space="0" w:color="auto"/>
              <w:left w:val="single" w:sz="4" w:space="0" w:color="auto"/>
              <w:bottom w:val="single" w:sz="4" w:space="0" w:color="auto"/>
              <w:right w:val="single" w:sz="4" w:space="0" w:color="auto"/>
            </w:tcBorders>
            <w:shd w:val="clear" w:color="000000" w:fill="E2F2E9"/>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13%</w:t>
            </w:r>
          </w:p>
        </w:tc>
        <w:tc>
          <w:tcPr>
            <w:tcW w:w="701" w:type="dxa"/>
            <w:tcBorders>
              <w:top w:val="single" w:sz="4" w:space="0" w:color="auto"/>
              <w:left w:val="single" w:sz="4" w:space="0" w:color="auto"/>
              <w:bottom w:val="single" w:sz="4" w:space="0" w:color="auto"/>
              <w:right w:val="single" w:sz="4" w:space="0" w:color="auto"/>
            </w:tcBorders>
            <w:shd w:val="clear" w:color="000000" w:fill="E4F2EA"/>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12%</w:t>
            </w:r>
          </w:p>
        </w:tc>
      </w:tr>
      <w:tr w:rsidR="00E500EA" w:rsidRPr="00120B00" w:rsidTr="00E500EA">
        <w:trPr>
          <w:trHeight w:val="261"/>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rsidR="00120B00" w:rsidRPr="00120B00" w:rsidRDefault="00120B00" w:rsidP="00120B00">
            <w:pPr>
              <w:spacing w:after="0" w:line="240" w:lineRule="auto"/>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10</w:t>
            </w:r>
          </w:p>
        </w:tc>
        <w:tc>
          <w:tcPr>
            <w:tcW w:w="6650" w:type="dxa"/>
            <w:tcBorders>
              <w:top w:val="nil"/>
              <w:left w:val="nil"/>
              <w:bottom w:val="single" w:sz="4" w:space="0" w:color="auto"/>
              <w:right w:val="single" w:sz="4" w:space="0" w:color="auto"/>
            </w:tcBorders>
            <w:shd w:val="clear" w:color="auto" w:fill="auto"/>
            <w:noWrap/>
            <w:hideMark/>
          </w:tcPr>
          <w:p w:rsidR="00120B00" w:rsidRPr="00120B00" w:rsidRDefault="00120B00" w:rsidP="00120B00">
            <w:pPr>
              <w:spacing w:after="0" w:line="240" w:lineRule="auto"/>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Araştırma laboratuvarlarında bulunan teknik personel sayısından</w:t>
            </w:r>
          </w:p>
        </w:tc>
        <w:tc>
          <w:tcPr>
            <w:tcW w:w="831" w:type="dxa"/>
            <w:tcBorders>
              <w:top w:val="single" w:sz="4" w:space="0" w:color="auto"/>
              <w:left w:val="single" w:sz="4" w:space="0" w:color="auto"/>
              <w:bottom w:val="single" w:sz="4" w:space="0" w:color="auto"/>
              <w:right w:val="single" w:sz="4" w:space="0" w:color="auto"/>
            </w:tcBorders>
            <w:shd w:val="clear" w:color="000000" w:fill="F0F7F5"/>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6%</w:t>
            </w:r>
          </w:p>
        </w:tc>
        <w:tc>
          <w:tcPr>
            <w:tcW w:w="687" w:type="dxa"/>
            <w:tcBorders>
              <w:top w:val="single" w:sz="4" w:space="0" w:color="auto"/>
              <w:left w:val="single" w:sz="4" w:space="0" w:color="auto"/>
              <w:bottom w:val="single" w:sz="4" w:space="0" w:color="auto"/>
              <w:right w:val="single" w:sz="4" w:space="0" w:color="auto"/>
            </w:tcBorders>
            <w:shd w:val="clear" w:color="000000" w:fill="D7EDDF"/>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18%</w:t>
            </w:r>
          </w:p>
        </w:tc>
        <w:tc>
          <w:tcPr>
            <w:tcW w:w="973" w:type="dxa"/>
            <w:tcBorders>
              <w:top w:val="single" w:sz="4" w:space="0" w:color="auto"/>
              <w:left w:val="single" w:sz="4" w:space="0" w:color="auto"/>
              <w:bottom w:val="single" w:sz="4" w:space="0" w:color="auto"/>
              <w:right w:val="single" w:sz="4" w:space="0" w:color="auto"/>
            </w:tcBorders>
            <w:shd w:val="clear" w:color="000000" w:fill="8DCF9F"/>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53%</w:t>
            </w:r>
          </w:p>
        </w:tc>
        <w:tc>
          <w:tcPr>
            <w:tcW w:w="646" w:type="dxa"/>
            <w:tcBorders>
              <w:top w:val="single" w:sz="4" w:space="0" w:color="auto"/>
              <w:left w:val="single" w:sz="4" w:space="0" w:color="auto"/>
              <w:bottom w:val="single" w:sz="4" w:space="0" w:color="auto"/>
              <w:right w:val="single" w:sz="4" w:space="0" w:color="auto"/>
            </w:tcBorders>
            <w:shd w:val="clear" w:color="000000" w:fill="D7EDDF"/>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18%</w:t>
            </w:r>
          </w:p>
        </w:tc>
        <w:tc>
          <w:tcPr>
            <w:tcW w:w="701" w:type="dxa"/>
            <w:tcBorders>
              <w:top w:val="single" w:sz="4" w:space="0" w:color="auto"/>
              <w:left w:val="single" w:sz="4" w:space="0" w:color="auto"/>
              <w:bottom w:val="single" w:sz="4" w:space="0" w:color="auto"/>
              <w:right w:val="single" w:sz="4" w:space="0" w:color="auto"/>
            </w:tcBorders>
            <w:shd w:val="clear" w:color="000000" w:fill="E4F2EA"/>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12%</w:t>
            </w:r>
          </w:p>
        </w:tc>
      </w:tr>
      <w:tr w:rsidR="00E500EA" w:rsidRPr="00120B00" w:rsidTr="00E500EA">
        <w:trPr>
          <w:trHeight w:val="261"/>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rsidR="00120B00" w:rsidRPr="00120B00" w:rsidRDefault="00120B00" w:rsidP="00120B00">
            <w:pPr>
              <w:spacing w:after="0" w:line="240" w:lineRule="auto"/>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11</w:t>
            </w:r>
          </w:p>
        </w:tc>
        <w:tc>
          <w:tcPr>
            <w:tcW w:w="6650" w:type="dxa"/>
            <w:tcBorders>
              <w:top w:val="nil"/>
              <w:left w:val="nil"/>
              <w:bottom w:val="single" w:sz="4" w:space="0" w:color="auto"/>
              <w:right w:val="single" w:sz="4" w:space="0" w:color="auto"/>
            </w:tcBorders>
            <w:shd w:val="clear" w:color="auto" w:fill="auto"/>
            <w:noWrap/>
            <w:hideMark/>
          </w:tcPr>
          <w:p w:rsidR="00120B00" w:rsidRPr="00120B00" w:rsidRDefault="00120B00" w:rsidP="00120B00">
            <w:pPr>
              <w:spacing w:after="0" w:line="240" w:lineRule="auto"/>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Bilgi kaynağının (e-kütüphane, kütüphane vb.) istenen düzeyde olmasından</w:t>
            </w:r>
          </w:p>
        </w:tc>
        <w:tc>
          <w:tcPr>
            <w:tcW w:w="831" w:type="dxa"/>
            <w:tcBorders>
              <w:top w:val="single" w:sz="4" w:space="0" w:color="auto"/>
              <w:left w:val="single" w:sz="4" w:space="0" w:color="auto"/>
              <w:bottom w:val="single" w:sz="4" w:space="0" w:color="auto"/>
              <w:right w:val="single" w:sz="4" w:space="0" w:color="auto"/>
            </w:tcBorders>
            <w:shd w:val="clear" w:color="000000" w:fill="93D2A5"/>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50%</w:t>
            </w:r>
          </w:p>
        </w:tc>
        <w:tc>
          <w:tcPr>
            <w:tcW w:w="687" w:type="dxa"/>
            <w:tcBorders>
              <w:top w:val="single" w:sz="4" w:space="0" w:color="auto"/>
              <w:left w:val="single" w:sz="4" w:space="0" w:color="auto"/>
              <w:bottom w:val="single" w:sz="4" w:space="0" w:color="auto"/>
              <w:right w:val="single" w:sz="4" w:space="0" w:color="auto"/>
            </w:tcBorders>
            <w:shd w:val="clear" w:color="000000" w:fill="93D2A5"/>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50%</w:t>
            </w:r>
          </w:p>
        </w:tc>
        <w:tc>
          <w:tcPr>
            <w:tcW w:w="973" w:type="dxa"/>
            <w:tcBorders>
              <w:top w:val="single" w:sz="4" w:space="0" w:color="auto"/>
              <w:left w:val="single" w:sz="4" w:space="0" w:color="auto"/>
              <w:bottom w:val="single" w:sz="4" w:space="0" w:color="auto"/>
              <w:right w:val="single" w:sz="4" w:space="0" w:color="auto"/>
            </w:tcBorders>
            <w:shd w:val="clear" w:color="000000" w:fill="C8E7D2"/>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25%</w:t>
            </w:r>
          </w:p>
        </w:tc>
        <w:tc>
          <w:tcPr>
            <w:tcW w:w="646" w:type="dxa"/>
            <w:tcBorders>
              <w:top w:val="single" w:sz="4" w:space="0" w:color="auto"/>
              <w:left w:val="single" w:sz="4" w:space="0" w:color="auto"/>
              <w:bottom w:val="single" w:sz="4" w:space="0" w:color="auto"/>
              <w:right w:val="single" w:sz="4" w:space="0" w:color="auto"/>
            </w:tcBorders>
            <w:shd w:val="clear" w:color="000000" w:fill="D9EEE1"/>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17%</w:t>
            </w:r>
          </w:p>
        </w:tc>
        <w:tc>
          <w:tcPr>
            <w:tcW w:w="701" w:type="dxa"/>
            <w:tcBorders>
              <w:top w:val="single" w:sz="4" w:space="0" w:color="auto"/>
              <w:left w:val="single" w:sz="4" w:space="0" w:color="auto"/>
              <w:bottom w:val="single" w:sz="4" w:space="0" w:color="auto"/>
              <w:right w:val="single" w:sz="4" w:space="0" w:color="auto"/>
            </w:tcBorders>
            <w:shd w:val="clear" w:color="000000" w:fill="F0F7F5"/>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6%</w:t>
            </w:r>
          </w:p>
        </w:tc>
      </w:tr>
      <w:tr w:rsidR="00E500EA" w:rsidRPr="00120B00" w:rsidTr="00E500EA">
        <w:trPr>
          <w:trHeight w:val="261"/>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rsidR="00120B00" w:rsidRPr="00120B00" w:rsidRDefault="00120B00" w:rsidP="00120B00">
            <w:pPr>
              <w:spacing w:after="0" w:line="240" w:lineRule="auto"/>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12</w:t>
            </w:r>
          </w:p>
        </w:tc>
        <w:tc>
          <w:tcPr>
            <w:tcW w:w="6650" w:type="dxa"/>
            <w:tcBorders>
              <w:top w:val="nil"/>
              <w:left w:val="nil"/>
              <w:bottom w:val="single" w:sz="4" w:space="0" w:color="auto"/>
              <w:right w:val="single" w:sz="4" w:space="0" w:color="auto"/>
            </w:tcBorders>
            <w:shd w:val="clear" w:color="auto" w:fill="auto"/>
            <w:noWrap/>
            <w:hideMark/>
          </w:tcPr>
          <w:p w:rsidR="00120B00" w:rsidRPr="00120B00" w:rsidRDefault="00120B00" w:rsidP="00120B00">
            <w:pPr>
              <w:spacing w:after="0" w:line="240" w:lineRule="auto"/>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 xml:space="preserve">Yurt içi </w:t>
            </w:r>
            <w:proofErr w:type="gramStart"/>
            <w:r w:rsidRPr="00120B00">
              <w:rPr>
                <w:rFonts w:ascii="Times New Roman" w:eastAsia="Times New Roman" w:hAnsi="Times New Roman" w:cs="Times New Roman"/>
                <w:color w:val="000000"/>
                <w:sz w:val="20"/>
                <w:szCs w:val="20"/>
                <w:lang w:eastAsia="tr-TR"/>
              </w:rPr>
              <w:t>sempozyum</w:t>
            </w:r>
            <w:proofErr w:type="gramEnd"/>
            <w:r w:rsidRPr="00120B00">
              <w:rPr>
                <w:rFonts w:ascii="Times New Roman" w:eastAsia="Times New Roman" w:hAnsi="Times New Roman" w:cs="Times New Roman"/>
                <w:color w:val="000000"/>
                <w:sz w:val="20"/>
                <w:szCs w:val="20"/>
                <w:lang w:eastAsia="tr-TR"/>
              </w:rPr>
              <w:t>, kongre vb. katılım için sunulan bütçe desteğinden</w:t>
            </w:r>
          </w:p>
        </w:tc>
        <w:tc>
          <w:tcPr>
            <w:tcW w:w="831" w:type="dxa"/>
            <w:tcBorders>
              <w:top w:val="single" w:sz="4" w:space="0" w:color="auto"/>
              <w:left w:val="single" w:sz="4" w:space="0" w:color="auto"/>
              <w:bottom w:val="single" w:sz="4" w:space="0" w:color="auto"/>
              <w:right w:val="single" w:sz="4" w:space="0" w:color="auto"/>
            </w:tcBorders>
            <w:shd w:val="clear" w:color="000000" w:fill="F0F7F5"/>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6%</w:t>
            </w:r>
          </w:p>
        </w:tc>
        <w:tc>
          <w:tcPr>
            <w:tcW w:w="687" w:type="dxa"/>
            <w:tcBorders>
              <w:top w:val="single" w:sz="4" w:space="0" w:color="auto"/>
              <w:left w:val="single" w:sz="4" w:space="0" w:color="auto"/>
              <w:bottom w:val="single" w:sz="4" w:space="0" w:color="auto"/>
              <w:right w:val="single" w:sz="4" w:space="0" w:color="auto"/>
            </w:tcBorders>
            <w:shd w:val="clear" w:color="000000" w:fill="D7EDDF"/>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18%</w:t>
            </w:r>
          </w:p>
        </w:tc>
        <w:tc>
          <w:tcPr>
            <w:tcW w:w="973" w:type="dxa"/>
            <w:tcBorders>
              <w:top w:val="single" w:sz="4" w:space="0" w:color="auto"/>
              <w:left w:val="single" w:sz="4" w:space="0" w:color="auto"/>
              <w:bottom w:val="single" w:sz="4" w:space="0" w:color="auto"/>
              <w:right w:val="single" w:sz="4" w:space="0" w:color="auto"/>
            </w:tcBorders>
            <w:shd w:val="clear" w:color="000000" w:fill="B2DEBF"/>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35%</w:t>
            </w:r>
          </w:p>
        </w:tc>
        <w:tc>
          <w:tcPr>
            <w:tcW w:w="646" w:type="dxa"/>
            <w:tcBorders>
              <w:top w:val="single" w:sz="4" w:space="0" w:color="auto"/>
              <w:left w:val="single" w:sz="4" w:space="0" w:color="auto"/>
              <w:bottom w:val="single" w:sz="4" w:space="0" w:color="auto"/>
              <w:right w:val="single" w:sz="4" w:space="0" w:color="auto"/>
            </w:tcBorders>
            <w:shd w:val="clear" w:color="000000" w:fill="BFE3CA"/>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29%</w:t>
            </w:r>
          </w:p>
        </w:tc>
        <w:tc>
          <w:tcPr>
            <w:tcW w:w="701" w:type="dxa"/>
            <w:tcBorders>
              <w:top w:val="single" w:sz="4" w:space="0" w:color="auto"/>
              <w:left w:val="single" w:sz="4" w:space="0" w:color="auto"/>
              <w:bottom w:val="single" w:sz="4" w:space="0" w:color="auto"/>
              <w:right w:val="single" w:sz="4" w:space="0" w:color="auto"/>
            </w:tcBorders>
            <w:shd w:val="clear" w:color="000000" w:fill="D7EDDF"/>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18%</w:t>
            </w:r>
          </w:p>
        </w:tc>
      </w:tr>
      <w:tr w:rsidR="00E500EA" w:rsidRPr="00120B00" w:rsidTr="00E500EA">
        <w:trPr>
          <w:trHeight w:val="261"/>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rsidR="00120B00" w:rsidRPr="00120B00" w:rsidRDefault="00120B00" w:rsidP="00120B00">
            <w:pPr>
              <w:spacing w:after="0" w:line="240" w:lineRule="auto"/>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13</w:t>
            </w:r>
          </w:p>
        </w:tc>
        <w:tc>
          <w:tcPr>
            <w:tcW w:w="6650" w:type="dxa"/>
            <w:tcBorders>
              <w:top w:val="nil"/>
              <w:left w:val="nil"/>
              <w:bottom w:val="single" w:sz="4" w:space="0" w:color="auto"/>
              <w:right w:val="single" w:sz="4" w:space="0" w:color="auto"/>
            </w:tcBorders>
            <w:shd w:val="clear" w:color="auto" w:fill="auto"/>
            <w:noWrap/>
            <w:hideMark/>
          </w:tcPr>
          <w:p w:rsidR="00120B00" w:rsidRPr="00120B00" w:rsidRDefault="00120B00" w:rsidP="00120B00">
            <w:pPr>
              <w:spacing w:after="0" w:line="240" w:lineRule="auto"/>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 xml:space="preserve">Yurt dışı </w:t>
            </w:r>
            <w:proofErr w:type="gramStart"/>
            <w:r w:rsidRPr="00120B00">
              <w:rPr>
                <w:rFonts w:ascii="Times New Roman" w:eastAsia="Times New Roman" w:hAnsi="Times New Roman" w:cs="Times New Roman"/>
                <w:color w:val="000000"/>
                <w:sz w:val="20"/>
                <w:szCs w:val="20"/>
                <w:lang w:eastAsia="tr-TR"/>
              </w:rPr>
              <w:t>sempozyum</w:t>
            </w:r>
            <w:proofErr w:type="gramEnd"/>
            <w:r w:rsidRPr="00120B00">
              <w:rPr>
                <w:rFonts w:ascii="Times New Roman" w:eastAsia="Times New Roman" w:hAnsi="Times New Roman" w:cs="Times New Roman"/>
                <w:color w:val="000000"/>
                <w:sz w:val="20"/>
                <w:szCs w:val="20"/>
                <w:lang w:eastAsia="tr-TR"/>
              </w:rPr>
              <w:t>, kongre vb. katılım için sunulan bütçe desteğinden</w:t>
            </w:r>
          </w:p>
        </w:tc>
        <w:tc>
          <w:tcPr>
            <w:tcW w:w="831" w:type="dxa"/>
            <w:tcBorders>
              <w:top w:val="single" w:sz="4" w:space="0" w:color="auto"/>
              <w:left w:val="single" w:sz="4" w:space="0" w:color="auto"/>
              <w:bottom w:val="single" w:sz="4" w:space="0" w:color="auto"/>
              <w:right w:val="single" w:sz="4" w:space="0" w:color="auto"/>
            </w:tcBorders>
            <w:shd w:val="clear" w:color="000000" w:fill="F0F7F5"/>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6%</w:t>
            </w:r>
          </w:p>
        </w:tc>
        <w:tc>
          <w:tcPr>
            <w:tcW w:w="687" w:type="dxa"/>
            <w:tcBorders>
              <w:top w:val="single" w:sz="4" w:space="0" w:color="auto"/>
              <w:left w:val="single" w:sz="4" w:space="0" w:color="auto"/>
              <w:bottom w:val="single" w:sz="4" w:space="0" w:color="auto"/>
              <w:right w:val="single" w:sz="4" w:space="0" w:color="auto"/>
            </w:tcBorders>
            <w:shd w:val="clear" w:color="000000" w:fill="D7EDDF"/>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18%</w:t>
            </w:r>
          </w:p>
        </w:tc>
        <w:tc>
          <w:tcPr>
            <w:tcW w:w="973" w:type="dxa"/>
            <w:tcBorders>
              <w:top w:val="single" w:sz="4" w:space="0" w:color="auto"/>
              <w:left w:val="single" w:sz="4" w:space="0" w:color="auto"/>
              <w:bottom w:val="single" w:sz="4" w:space="0" w:color="auto"/>
              <w:right w:val="single" w:sz="4" w:space="0" w:color="auto"/>
            </w:tcBorders>
            <w:shd w:val="clear" w:color="000000" w:fill="BFE3CA"/>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29%</w:t>
            </w:r>
          </w:p>
        </w:tc>
        <w:tc>
          <w:tcPr>
            <w:tcW w:w="646" w:type="dxa"/>
            <w:tcBorders>
              <w:top w:val="single" w:sz="4" w:space="0" w:color="auto"/>
              <w:left w:val="single" w:sz="4" w:space="0" w:color="auto"/>
              <w:bottom w:val="single" w:sz="4" w:space="0" w:color="auto"/>
              <w:right w:val="single" w:sz="4" w:space="0" w:color="auto"/>
            </w:tcBorders>
            <w:shd w:val="clear" w:color="000000" w:fill="B2DEBF"/>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35%</w:t>
            </w:r>
          </w:p>
        </w:tc>
        <w:tc>
          <w:tcPr>
            <w:tcW w:w="701" w:type="dxa"/>
            <w:tcBorders>
              <w:top w:val="single" w:sz="4" w:space="0" w:color="auto"/>
              <w:left w:val="single" w:sz="4" w:space="0" w:color="auto"/>
              <w:bottom w:val="single" w:sz="4" w:space="0" w:color="auto"/>
              <w:right w:val="single" w:sz="4" w:space="0" w:color="auto"/>
            </w:tcBorders>
            <w:shd w:val="clear" w:color="000000" w:fill="D7EDDF"/>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18%</w:t>
            </w:r>
          </w:p>
        </w:tc>
      </w:tr>
      <w:tr w:rsidR="00E500EA" w:rsidRPr="00120B00" w:rsidTr="00E500EA">
        <w:trPr>
          <w:trHeight w:val="261"/>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rsidR="00120B00" w:rsidRPr="00120B00" w:rsidRDefault="00120B00" w:rsidP="00120B00">
            <w:pPr>
              <w:spacing w:after="0" w:line="240" w:lineRule="auto"/>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14</w:t>
            </w:r>
          </w:p>
        </w:tc>
        <w:tc>
          <w:tcPr>
            <w:tcW w:w="6650" w:type="dxa"/>
            <w:tcBorders>
              <w:top w:val="nil"/>
              <w:left w:val="nil"/>
              <w:bottom w:val="single" w:sz="4" w:space="0" w:color="auto"/>
              <w:right w:val="single" w:sz="4" w:space="0" w:color="auto"/>
            </w:tcBorders>
            <w:shd w:val="clear" w:color="auto" w:fill="auto"/>
            <w:noWrap/>
            <w:hideMark/>
          </w:tcPr>
          <w:p w:rsidR="00120B00" w:rsidRPr="00120B00" w:rsidRDefault="00120B00" w:rsidP="00120B00">
            <w:pPr>
              <w:spacing w:after="0" w:line="240" w:lineRule="auto"/>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Abone olunan veri tabanlarının yeterliliğinden</w:t>
            </w:r>
          </w:p>
        </w:tc>
        <w:tc>
          <w:tcPr>
            <w:tcW w:w="831" w:type="dxa"/>
            <w:tcBorders>
              <w:top w:val="single" w:sz="4" w:space="0" w:color="auto"/>
              <w:left w:val="single" w:sz="4" w:space="0" w:color="auto"/>
              <w:bottom w:val="single" w:sz="4" w:space="0" w:color="auto"/>
              <w:right w:val="single" w:sz="4" w:space="0" w:color="auto"/>
            </w:tcBorders>
            <w:shd w:val="clear" w:color="000000" w:fill="C0E4CC"/>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29%</w:t>
            </w:r>
          </w:p>
        </w:tc>
        <w:tc>
          <w:tcPr>
            <w:tcW w:w="687" w:type="dxa"/>
            <w:tcBorders>
              <w:top w:val="single" w:sz="4" w:space="0" w:color="auto"/>
              <w:left w:val="single" w:sz="4" w:space="0" w:color="auto"/>
              <w:bottom w:val="single" w:sz="4" w:space="0" w:color="auto"/>
              <w:right w:val="single" w:sz="4" w:space="0" w:color="auto"/>
            </w:tcBorders>
            <w:shd w:val="clear" w:color="000000" w:fill="75C68B"/>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64%</w:t>
            </w:r>
          </w:p>
        </w:tc>
        <w:tc>
          <w:tcPr>
            <w:tcW w:w="973" w:type="dxa"/>
            <w:tcBorders>
              <w:top w:val="single" w:sz="4" w:space="0" w:color="auto"/>
              <w:left w:val="single" w:sz="4" w:space="0" w:color="auto"/>
              <w:bottom w:val="single" w:sz="4" w:space="0" w:color="auto"/>
              <w:right w:val="single" w:sz="4" w:space="0" w:color="auto"/>
            </w:tcBorders>
            <w:shd w:val="clear" w:color="000000" w:fill="CFEAD9"/>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21%</w:t>
            </w:r>
          </w:p>
        </w:tc>
        <w:tc>
          <w:tcPr>
            <w:tcW w:w="646" w:type="dxa"/>
            <w:tcBorders>
              <w:top w:val="single" w:sz="4" w:space="0" w:color="auto"/>
              <w:left w:val="single" w:sz="4" w:space="0" w:color="auto"/>
              <w:bottom w:val="single" w:sz="4" w:space="0" w:color="auto"/>
              <w:right w:val="single" w:sz="4" w:space="0" w:color="auto"/>
            </w:tcBorders>
            <w:shd w:val="clear" w:color="000000" w:fill="FCFCFF"/>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0%</w:t>
            </w:r>
          </w:p>
        </w:tc>
        <w:tc>
          <w:tcPr>
            <w:tcW w:w="701" w:type="dxa"/>
            <w:tcBorders>
              <w:top w:val="single" w:sz="4" w:space="0" w:color="auto"/>
              <w:left w:val="single" w:sz="4" w:space="0" w:color="auto"/>
              <w:bottom w:val="single" w:sz="4" w:space="0" w:color="auto"/>
              <w:right w:val="single" w:sz="4" w:space="0" w:color="auto"/>
            </w:tcBorders>
            <w:shd w:val="clear" w:color="000000" w:fill="E4F2EA"/>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12%</w:t>
            </w:r>
          </w:p>
        </w:tc>
      </w:tr>
      <w:tr w:rsidR="00E500EA" w:rsidRPr="00120B00" w:rsidTr="00E500EA">
        <w:trPr>
          <w:trHeight w:val="261"/>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rsidR="00120B00" w:rsidRPr="00120B00" w:rsidRDefault="00120B00" w:rsidP="00120B00">
            <w:pPr>
              <w:spacing w:after="0" w:line="240" w:lineRule="auto"/>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15</w:t>
            </w:r>
          </w:p>
        </w:tc>
        <w:tc>
          <w:tcPr>
            <w:tcW w:w="6650" w:type="dxa"/>
            <w:tcBorders>
              <w:top w:val="nil"/>
              <w:left w:val="nil"/>
              <w:bottom w:val="single" w:sz="4" w:space="0" w:color="auto"/>
              <w:right w:val="single" w:sz="4" w:space="0" w:color="auto"/>
            </w:tcBorders>
            <w:shd w:val="clear" w:color="auto" w:fill="auto"/>
            <w:noWrap/>
            <w:hideMark/>
          </w:tcPr>
          <w:p w:rsidR="00120B00" w:rsidRPr="00120B00" w:rsidRDefault="00120B00" w:rsidP="00120B00">
            <w:pPr>
              <w:spacing w:after="0" w:line="240" w:lineRule="auto"/>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Programınızdaki/Bölümünüzdeki seçmeli derslerin ihtiyaca cevap vermesinden</w:t>
            </w:r>
          </w:p>
        </w:tc>
        <w:tc>
          <w:tcPr>
            <w:tcW w:w="831" w:type="dxa"/>
            <w:tcBorders>
              <w:top w:val="single" w:sz="4" w:space="0" w:color="auto"/>
              <w:left w:val="single" w:sz="4" w:space="0" w:color="auto"/>
              <w:bottom w:val="single" w:sz="4" w:space="0" w:color="auto"/>
              <w:right w:val="single" w:sz="4" w:space="0" w:color="auto"/>
            </w:tcBorders>
            <w:shd w:val="clear" w:color="000000" w:fill="D2EBDB"/>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20%</w:t>
            </w:r>
          </w:p>
        </w:tc>
        <w:tc>
          <w:tcPr>
            <w:tcW w:w="687" w:type="dxa"/>
            <w:tcBorders>
              <w:top w:val="single" w:sz="4" w:space="0" w:color="auto"/>
              <w:left w:val="single" w:sz="4" w:space="0" w:color="auto"/>
              <w:bottom w:val="single" w:sz="4" w:space="0" w:color="auto"/>
              <w:right w:val="single" w:sz="4" w:space="0" w:color="auto"/>
            </w:tcBorders>
            <w:shd w:val="clear" w:color="000000" w:fill="9AD5AB"/>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47%</w:t>
            </w:r>
          </w:p>
        </w:tc>
        <w:tc>
          <w:tcPr>
            <w:tcW w:w="973" w:type="dxa"/>
            <w:tcBorders>
              <w:top w:val="single" w:sz="4" w:space="0" w:color="auto"/>
              <w:left w:val="single" w:sz="4" w:space="0" w:color="auto"/>
              <w:bottom w:val="single" w:sz="4" w:space="0" w:color="auto"/>
              <w:right w:val="single" w:sz="4" w:space="0" w:color="auto"/>
            </w:tcBorders>
            <w:shd w:val="clear" w:color="000000" w:fill="B6E0C3"/>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33%</w:t>
            </w:r>
          </w:p>
        </w:tc>
        <w:tc>
          <w:tcPr>
            <w:tcW w:w="646" w:type="dxa"/>
            <w:tcBorders>
              <w:top w:val="single" w:sz="4" w:space="0" w:color="auto"/>
              <w:left w:val="single" w:sz="4" w:space="0" w:color="auto"/>
              <w:bottom w:val="single" w:sz="4" w:space="0" w:color="auto"/>
              <w:right w:val="single" w:sz="4" w:space="0" w:color="auto"/>
            </w:tcBorders>
            <w:shd w:val="clear" w:color="000000" w:fill="E0F1E7"/>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13%</w:t>
            </w:r>
          </w:p>
        </w:tc>
        <w:tc>
          <w:tcPr>
            <w:tcW w:w="701" w:type="dxa"/>
            <w:tcBorders>
              <w:top w:val="single" w:sz="4" w:space="0" w:color="auto"/>
              <w:left w:val="single" w:sz="4" w:space="0" w:color="auto"/>
              <w:bottom w:val="single" w:sz="4" w:space="0" w:color="auto"/>
              <w:right w:val="single" w:sz="4" w:space="0" w:color="auto"/>
            </w:tcBorders>
            <w:shd w:val="clear" w:color="000000" w:fill="F0F7F5"/>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6%</w:t>
            </w:r>
          </w:p>
        </w:tc>
      </w:tr>
      <w:tr w:rsidR="00E500EA" w:rsidRPr="00120B00" w:rsidTr="00E500EA">
        <w:trPr>
          <w:trHeight w:val="261"/>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rsidR="00120B00" w:rsidRPr="00120B00" w:rsidRDefault="00120B00" w:rsidP="00120B00">
            <w:pPr>
              <w:spacing w:after="0" w:line="240" w:lineRule="auto"/>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16</w:t>
            </w:r>
          </w:p>
        </w:tc>
        <w:tc>
          <w:tcPr>
            <w:tcW w:w="6650" w:type="dxa"/>
            <w:tcBorders>
              <w:top w:val="nil"/>
              <w:left w:val="nil"/>
              <w:bottom w:val="single" w:sz="4" w:space="0" w:color="auto"/>
              <w:right w:val="single" w:sz="4" w:space="0" w:color="auto"/>
            </w:tcBorders>
            <w:shd w:val="clear" w:color="auto" w:fill="auto"/>
            <w:noWrap/>
            <w:hideMark/>
          </w:tcPr>
          <w:p w:rsidR="00120B00" w:rsidRPr="00120B00" w:rsidRDefault="00120B00" w:rsidP="00120B00">
            <w:pPr>
              <w:spacing w:after="0" w:line="240" w:lineRule="auto"/>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Biriminizin öğretim elemanlarının ders yükü dengesinden</w:t>
            </w:r>
          </w:p>
        </w:tc>
        <w:tc>
          <w:tcPr>
            <w:tcW w:w="831" w:type="dxa"/>
            <w:tcBorders>
              <w:top w:val="single" w:sz="4" w:space="0" w:color="auto"/>
              <w:left w:val="single" w:sz="4" w:space="0" w:color="auto"/>
              <w:bottom w:val="single" w:sz="4" w:space="0" w:color="auto"/>
              <w:right w:val="single" w:sz="4" w:space="0" w:color="auto"/>
            </w:tcBorders>
            <w:shd w:val="clear" w:color="000000" w:fill="C0E4CC"/>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29%</w:t>
            </w:r>
          </w:p>
        </w:tc>
        <w:tc>
          <w:tcPr>
            <w:tcW w:w="687" w:type="dxa"/>
            <w:tcBorders>
              <w:top w:val="single" w:sz="4" w:space="0" w:color="auto"/>
              <w:left w:val="single" w:sz="4" w:space="0" w:color="auto"/>
              <w:bottom w:val="single" w:sz="4" w:space="0" w:color="auto"/>
              <w:right w:val="single" w:sz="4" w:space="0" w:color="auto"/>
            </w:tcBorders>
            <w:shd w:val="clear" w:color="000000" w:fill="66C07E"/>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71%</w:t>
            </w:r>
          </w:p>
        </w:tc>
        <w:tc>
          <w:tcPr>
            <w:tcW w:w="973" w:type="dxa"/>
            <w:tcBorders>
              <w:top w:val="single" w:sz="4" w:space="0" w:color="auto"/>
              <w:left w:val="single" w:sz="4" w:space="0" w:color="auto"/>
              <w:bottom w:val="single" w:sz="4" w:space="0" w:color="auto"/>
              <w:right w:val="single" w:sz="4" w:space="0" w:color="auto"/>
            </w:tcBorders>
            <w:shd w:val="clear" w:color="000000" w:fill="EDF6F3"/>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7%</w:t>
            </w:r>
          </w:p>
        </w:tc>
        <w:tc>
          <w:tcPr>
            <w:tcW w:w="646" w:type="dxa"/>
            <w:tcBorders>
              <w:top w:val="single" w:sz="4" w:space="0" w:color="auto"/>
              <w:left w:val="single" w:sz="4" w:space="0" w:color="auto"/>
              <w:bottom w:val="single" w:sz="4" w:space="0" w:color="auto"/>
              <w:right w:val="single" w:sz="4" w:space="0" w:color="auto"/>
            </w:tcBorders>
            <w:shd w:val="clear" w:color="000000" w:fill="FCFCFF"/>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0%</w:t>
            </w:r>
          </w:p>
        </w:tc>
        <w:tc>
          <w:tcPr>
            <w:tcW w:w="701" w:type="dxa"/>
            <w:tcBorders>
              <w:top w:val="single" w:sz="4" w:space="0" w:color="auto"/>
              <w:left w:val="single" w:sz="4" w:space="0" w:color="auto"/>
              <w:bottom w:val="single" w:sz="4" w:space="0" w:color="auto"/>
              <w:right w:val="single" w:sz="4" w:space="0" w:color="auto"/>
            </w:tcBorders>
            <w:shd w:val="clear" w:color="000000" w:fill="D7EDDF"/>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18%</w:t>
            </w:r>
          </w:p>
        </w:tc>
      </w:tr>
      <w:tr w:rsidR="00E500EA" w:rsidRPr="00120B00" w:rsidTr="00E500EA">
        <w:trPr>
          <w:trHeight w:val="261"/>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rsidR="00120B00" w:rsidRPr="00120B00" w:rsidRDefault="00120B00" w:rsidP="00120B00">
            <w:pPr>
              <w:spacing w:after="0" w:line="240" w:lineRule="auto"/>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17</w:t>
            </w:r>
          </w:p>
        </w:tc>
        <w:tc>
          <w:tcPr>
            <w:tcW w:w="6650" w:type="dxa"/>
            <w:tcBorders>
              <w:top w:val="nil"/>
              <w:left w:val="nil"/>
              <w:bottom w:val="single" w:sz="4" w:space="0" w:color="auto"/>
              <w:right w:val="single" w:sz="4" w:space="0" w:color="auto"/>
            </w:tcBorders>
            <w:shd w:val="clear" w:color="auto" w:fill="auto"/>
            <w:noWrap/>
            <w:hideMark/>
          </w:tcPr>
          <w:p w:rsidR="00120B00" w:rsidRPr="00120B00" w:rsidRDefault="00120B00" w:rsidP="00120B00">
            <w:pPr>
              <w:spacing w:after="0" w:line="240" w:lineRule="auto"/>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Sürekli Eğitim Merkezi'nin (DÜSEM) sağladığı hizmetlerden</w:t>
            </w:r>
          </w:p>
        </w:tc>
        <w:tc>
          <w:tcPr>
            <w:tcW w:w="831" w:type="dxa"/>
            <w:tcBorders>
              <w:top w:val="single" w:sz="4" w:space="0" w:color="auto"/>
              <w:left w:val="single" w:sz="4" w:space="0" w:color="auto"/>
              <w:bottom w:val="single" w:sz="4" w:space="0" w:color="auto"/>
              <w:right w:val="single" w:sz="4" w:space="0" w:color="auto"/>
            </w:tcBorders>
            <w:shd w:val="clear" w:color="000000" w:fill="C0E4CC"/>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29%</w:t>
            </w:r>
          </w:p>
        </w:tc>
        <w:tc>
          <w:tcPr>
            <w:tcW w:w="687" w:type="dxa"/>
            <w:tcBorders>
              <w:top w:val="single" w:sz="4" w:space="0" w:color="auto"/>
              <w:left w:val="single" w:sz="4" w:space="0" w:color="auto"/>
              <w:bottom w:val="single" w:sz="4" w:space="0" w:color="auto"/>
              <w:right w:val="single" w:sz="4" w:space="0" w:color="auto"/>
            </w:tcBorders>
            <w:shd w:val="clear" w:color="000000" w:fill="A2D8B2"/>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43%</w:t>
            </w:r>
          </w:p>
        </w:tc>
        <w:tc>
          <w:tcPr>
            <w:tcW w:w="973" w:type="dxa"/>
            <w:tcBorders>
              <w:top w:val="single" w:sz="4" w:space="0" w:color="auto"/>
              <w:left w:val="single" w:sz="4" w:space="0" w:color="auto"/>
              <w:bottom w:val="single" w:sz="4" w:space="0" w:color="auto"/>
              <w:right w:val="single" w:sz="4" w:space="0" w:color="auto"/>
            </w:tcBorders>
            <w:shd w:val="clear" w:color="000000" w:fill="A2D8B2"/>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43%</w:t>
            </w:r>
          </w:p>
        </w:tc>
        <w:tc>
          <w:tcPr>
            <w:tcW w:w="646" w:type="dxa"/>
            <w:tcBorders>
              <w:top w:val="single" w:sz="4" w:space="0" w:color="auto"/>
              <w:left w:val="single" w:sz="4" w:space="0" w:color="auto"/>
              <w:bottom w:val="single" w:sz="4" w:space="0" w:color="auto"/>
              <w:right w:val="single" w:sz="4" w:space="0" w:color="auto"/>
            </w:tcBorders>
            <w:shd w:val="clear" w:color="000000" w:fill="EDF6F3"/>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7%</w:t>
            </w:r>
          </w:p>
        </w:tc>
        <w:tc>
          <w:tcPr>
            <w:tcW w:w="701" w:type="dxa"/>
            <w:tcBorders>
              <w:top w:val="single" w:sz="4" w:space="0" w:color="auto"/>
              <w:left w:val="single" w:sz="4" w:space="0" w:color="auto"/>
              <w:bottom w:val="single" w:sz="4" w:space="0" w:color="auto"/>
              <w:right w:val="single" w:sz="4" w:space="0" w:color="auto"/>
            </w:tcBorders>
            <w:shd w:val="clear" w:color="000000" w:fill="F0F7F5"/>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6%</w:t>
            </w:r>
          </w:p>
        </w:tc>
      </w:tr>
      <w:tr w:rsidR="00E500EA" w:rsidRPr="00120B00" w:rsidTr="00E500EA">
        <w:trPr>
          <w:trHeight w:val="261"/>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rsidR="00120B00" w:rsidRPr="00120B00" w:rsidRDefault="00120B00" w:rsidP="00120B00">
            <w:pPr>
              <w:spacing w:after="0" w:line="240" w:lineRule="auto"/>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18</w:t>
            </w:r>
          </w:p>
        </w:tc>
        <w:tc>
          <w:tcPr>
            <w:tcW w:w="6650" w:type="dxa"/>
            <w:tcBorders>
              <w:top w:val="nil"/>
              <w:left w:val="nil"/>
              <w:bottom w:val="single" w:sz="4" w:space="0" w:color="auto"/>
              <w:right w:val="single" w:sz="4" w:space="0" w:color="auto"/>
            </w:tcBorders>
            <w:shd w:val="clear" w:color="auto" w:fill="auto"/>
            <w:noWrap/>
            <w:hideMark/>
          </w:tcPr>
          <w:p w:rsidR="00120B00" w:rsidRPr="00120B00" w:rsidRDefault="00120B00" w:rsidP="00120B00">
            <w:pPr>
              <w:spacing w:after="0" w:line="240" w:lineRule="auto"/>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Dış İlişkiler Ofis biriminin sağladığı hizmetlerden</w:t>
            </w:r>
          </w:p>
        </w:tc>
        <w:tc>
          <w:tcPr>
            <w:tcW w:w="831" w:type="dxa"/>
            <w:tcBorders>
              <w:top w:val="single" w:sz="4" w:space="0" w:color="auto"/>
              <w:left w:val="single" w:sz="4" w:space="0" w:color="auto"/>
              <w:bottom w:val="single" w:sz="4" w:space="0" w:color="auto"/>
              <w:right w:val="single" w:sz="4" w:space="0" w:color="auto"/>
            </w:tcBorders>
            <w:shd w:val="clear" w:color="000000" w:fill="E0F1E7"/>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13%</w:t>
            </w:r>
          </w:p>
        </w:tc>
        <w:tc>
          <w:tcPr>
            <w:tcW w:w="687" w:type="dxa"/>
            <w:tcBorders>
              <w:top w:val="single" w:sz="4" w:space="0" w:color="auto"/>
              <w:left w:val="single" w:sz="4" w:space="0" w:color="auto"/>
              <w:bottom w:val="single" w:sz="4" w:space="0" w:color="auto"/>
              <w:right w:val="single" w:sz="4" w:space="0" w:color="auto"/>
            </w:tcBorders>
            <w:shd w:val="clear" w:color="000000" w:fill="A8DAB7"/>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40%</w:t>
            </w:r>
          </w:p>
        </w:tc>
        <w:tc>
          <w:tcPr>
            <w:tcW w:w="973" w:type="dxa"/>
            <w:tcBorders>
              <w:top w:val="single" w:sz="4" w:space="0" w:color="auto"/>
              <w:left w:val="single" w:sz="4" w:space="0" w:color="auto"/>
              <w:bottom w:val="single" w:sz="4" w:space="0" w:color="auto"/>
              <w:right w:val="single" w:sz="4" w:space="0" w:color="auto"/>
            </w:tcBorders>
            <w:shd w:val="clear" w:color="000000" w:fill="9AD5AB"/>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47%</w:t>
            </w:r>
          </w:p>
        </w:tc>
        <w:tc>
          <w:tcPr>
            <w:tcW w:w="646" w:type="dxa"/>
            <w:tcBorders>
              <w:top w:val="single" w:sz="4" w:space="0" w:color="auto"/>
              <w:left w:val="single" w:sz="4" w:space="0" w:color="auto"/>
              <w:bottom w:val="single" w:sz="4" w:space="0" w:color="auto"/>
              <w:right w:val="single" w:sz="4" w:space="0" w:color="auto"/>
            </w:tcBorders>
            <w:shd w:val="clear" w:color="000000" w:fill="FCFCFF"/>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0%</w:t>
            </w:r>
          </w:p>
        </w:tc>
        <w:tc>
          <w:tcPr>
            <w:tcW w:w="701" w:type="dxa"/>
            <w:tcBorders>
              <w:top w:val="single" w:sz="4" w:space="0" w:color="auto"/>
              <w:left w:val="single" w:sz="4" w:space="0" w:color="auto"/>
              <w:bottom w:val="single" w:sz="4" w:space="0" w:color="auto"/>
              <w:right w:val="single" w:sz="4" w:space="0" w:color="auto"/>
            </w:tcBorders>
            <w:shd w:val="clear" w:color="000000" w:fill="E4F2EA"/>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12%</w:t>
            </w:r>
          </w:p>
        </w:tc>
      </w:tr>
      <w:tr w:rsidR="00E500EA" w:rsidRPr="00120B00" w:rsidTr="00E500EA">
        <w:trPr>
          <w:trHeight w:val="261"/>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rsidR="00120B00" w:rsidRPr="00120B00" w:rsidRDefault="00120B00" w:rsidP="00120B00">
            <w:pPr>
              <w:spacing w:after="0" w:line="240" w:lineRule="auto"/>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19</w:t>
            </w:r>
          </w:p>
        </w:tc>
        <w:tc>
          <w:tcPr>
            <w:tcW w:w="6650" w:type="dxa"/>
            <w:tcBorders>
              <w:top w:val="nil"/>
              <w:left w:val="nil"/>
              <w:bottom w:val="single" w:sz="4" w:space="0" w:color="auto"/>
              <w:right w:val="single" w:sz="4" w:space="0" w:color="auto"/>
            </w:tcBorders>
            <w:shd w:val="clear" w:color="auto" w:fill="auto"/>
            <w:noWrap/>
            <w:hideMark/>
          </w:tcPr>
          <w:p w:rsidR="00120B00" w:rsidRPr="00120B00" w:rsidRDefault="00120B00" w:rsidP="00120B00">
            <w:pPr>
              <w:spacing w:after="0" w:line="240" w:lineRule="auto"/>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Eğitim-öğretim faaliyetleri ile ilgili sağlanan donanım, araç ve gereç desteğinden</w:t>
            </w:r>
          </w:p>
        </w:tc>
        <w:tc>
          <w:tcPr>
            <w:tcW w:w="831" w:type="dxa"/>
            <w:tcBorders>
              <w:top w:val="single" w:sz="4" w:space="0" w:color="auto"/>
              <w:left w:val="single" w:sz="4" w:space="0" w:color="auto"/>
              <w:bottom w:val="single" w:sz="4" w:space="0" w:color="auto"/>
              <w:right w:val="single" w:sz="4" w:space="0" w:color="auto"/>
            </w:tcBorders>
            <w:shd w:val="clear" w:color="000000" w:fill="C0E4CC"/>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29%</w:t>
            </w:r>
          </w:p>
        </w:tc>
        <w:tc>
          <w:tcPr>
            <w:tcW w:w="687" w:type="dxa"/>
            <w:tcBorders>
              <w:top w:val="single" w:sz="4" w:space="0" w:color="auto"/>
              <w:left w:val="single" w:sz="4" w:space="0" w:color="auto"/>
              <w:bottom w:val="single" w:sz="4" w:space="0" w:color="auto"/>
              <w:right w:val="single" w:sz="4" w:space="0" w:color="auto"/>
            </w:tcBorders>
            <w:shd w:val="clear" w:color="000000" w:fill="DEF0E6"/>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14%</w:t>
            </w:r>
          </w:p>
        </w:tc>
        <w:tc>
          <w:tcPr>
            <w:tcW w:w="973" w:type="dxa"/>
            <w:tcBorders>
              <w:top w:val="single" w:sz="4" w:space="0" w:color="auto"/>
              <w:left w:val="single" w:sz="4" w:space="0" w:color="auto"/>
              <w:bottom w:val="single" w:sz="4" w:space="0" w:color="auto"/>
              <w:right w:val="single" w:sz="4" w:space="0" w:color="auto"/>
            </w:tcBorders>
            <w:shd w:val="clear" w:color="000000" w:fill="75C68B"/>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64%</w:t>
            </w:r>
          </w:p>
        </w:tc>
        <w:tc>
          <w:tcPr>
            <w:tcW w:w="646" w:type="dxa"/>
            <w:tcBorders>
              <w:top w:val="single" w:sz="4" w:space="0" w:color="auto"/>
              <w:left w:val="single" w:sz="4" w:space="0" w:color="auto"/>
              <w:bottom w:val="single" w:sz="4" w:space="0" w:color="auto"/>
              <w:right w:val="single" w:sz="4" w:space="0" w:color="auto"/>
            </w:tcBorders>
            <w:shd w:val="clear" w:color="000000" w:fill="FCFCFF"/>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0%</w:t>
            </w:r>
          </w:p>
        </w:tc>
        <w:tc>
          <w:tcPr>
            <w:tcW w:w="701" w:type="dxa"/>
            <w:tcBorders>
              <w:top w:val="single" w:sz="4" w:space="0" w:color="auto"/>
              <w:left w:val="single" w:sz="4" w:space="0" w:color="auto"/>
              <w:bottom w:val="single" w:sz="4" w:space="0" w:color="auto"/>
              <w:right w:val="single" w:sz="4" w:space="0" w:color="auto"/>
            </w:tcBorders>
            <w:shd w:val="clear" w:color="000000" w:fill="D7EDDF"/>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18%</w:t>
            </w:r>
          </w:p>
        </w:tc>
      </w:tr>
      <w:tr w:rsidR="00E500EA" w:rsidRPr="00120B00" w:rsidTr="00E500EA">
        <w:trPr>
          <w:trHeight w:val="261"/>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rsidR="00120B00" w:rsidRPr="00120B00" w:rsidRDefault="00120B00" w:rsidP="00120B00">
            <w:pPr>
              <w:spacing w:after="0" w:line="240" w:lineRule="auto"/>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20</w:t>
            </w:r>
          </w:p>
        </w:tc>
        <w:tc>
          <w:tcPr>
            <w:tcW w:w="6650" w:type="dxa"/>
            <w:tcBorders>
              <w:top w:val="nil"/>
              <w:left w:val="nil"/>
              <w:bottom w:val="single" w:sz="4" w:space="0" w:color="auto"/>
              <w:right w:val="single" w:sz="4" w:space="0" w:color="auto"/>
            </w:tcBorders>
            <w:shd w:val="clear" w:color="auto" w:fill="auto"/>
            <w:noWrap/>
            <w:hideMark/>
          </w:tcPr>
          <w:p w:rsidR="00120B00" w:rsidRPr="00120B00" w:rsidRDefault="00120B00" w:rsidP="00120B00">
            <w:pPr>
              <w:spacing w:after="0" w:line="240" w:lineRule="auto"/>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Üniversitemizin ülkemiz ve dünya ölçeğindeki sıralamasından</w:t>
            </w:r>
          </w:p>
        </w:tc>
        <w:tc>
          <w:tcPr>
            <w:tcW w:w="831" w:type="dxa"/>
            <w:tcBorders>
              <w:top w:val="single" w:sz="4" w:space="0" w:color="auto"/>
              <w:left w:val="single" w:sz="4" w:space="0" w:color="auto"/>
              <w:bottom w:val="single" w:sz="4" w:space="0" w:color="auto"/>
              <w:right w:val="single" w:sz="4" w:space="0" w:color="auto"/>
            </w:tcBorders>
            <w:shd w:val="clear" w:color="000000" w:fill="E2F2E9"/>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13%</w:t>
            </w:r>
          </w:p>
        </w:tc>
        <w:tc>
          <w:tcPr>
            <w:tcW w:w="687" w:type="dxa"/>
            <w:tcBorders>
              <w:top w:val="single" w:sz="4" w:space="0" w:color="auto"/>
              <w:left w:val="single" w:sz="4" w:space="0" w:color="auto"/>
              <w:bottom w:val="single" w:sz="4" w:space="0" w:color="auto"/>
              <w:right w:val="single" w:sz="4" w:space="0" w:color="auto"/>
            </w:tcBorders>
            <w:shd w:val="clear" w:color="000000" w:fill="AEDDBB"/>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38%</w:t>
            </w:r>
          </w:p>
        </w:tc>
        <w:tc>
          <w:tcPr>
            <w:tcW w:w="973" w:type="dxa"/>
            <w:tcBorders>
              <w:top w:val="single" w:sz="4" w:space="0" w:color="auto"/>
              <w:left w:val="single" w:sz="4" w:space="0" w:color="auto"/>
              <w:bottom w:val="single" w:sz="4" w:space="0" w:color="auto"/>
              <w:right w:val="single" w:sz="4" w:space="0" w:color="auto"/>
            </w:tcBorders>
            <w:shd w:val="clear" w:color="000000" w:fill="A0D7B0"/>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44%</w:t>
            </w:r>
          </w:p>
        </w:tc>
        <w:tc>
          <w:tcPr>
            <w:tcW w:w="646" w:type="dxa"/>
            <w:tcBorders>
              <w:top w:val="single" w:sz="4" w:space="0" w:color="auto"/>
              <w:left w:val="single" w:sz="4" w:space="0" w:color="auto"/>
              <w:bottom w:val="single" w:sz="4" w:space="0" w:color="auto"/>
              <w:right w:val="single" w:sz="4" w:space="0" w:color="auto"/>
            </w:tcBorders>
            <w:shd w:val="clear" w:color="000000" w:fill="FCFCFF"/>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0%</w:t>
            </w:r>
          </w:p>
        </w:tc>
        <w:tc>
          <w:tcPr>
            <w:tcW w:w="701" w:type="dxa"/>
            <w:tcBorders>
              <w:top w:val="single" w:sz="4" w:space="0" w:color="auto"/>
              <w:left w:val="single" w:sz="4" w:space="0" w:color="auto"/>
              <w:bottom w:val="single" w:sz="4" w:space="0" w:color="auto"/>
              <w:right w:val="single" w:sz="4" w:space="0" w:color="auto"/>
            </w:tcBorders>
            <w:shd w:val="clear" w:color="000000" w:fill="D7EDDF"/>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18%</w:t>
            </w:r>
          </w:p>
        </w:tc>
      </w:tr>
      <w:tr w:rsidR="00E500EA" w:rsidRPr="00120B00" w:rsidTr="00E500EA">
        <w:trPr>
          <w:trHeight w:val="261"/>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rsidR="00120B00" w:rsidRPr="00120B00" w:rsidRDefault="00120B00" w:rsidP="00120B00">
            <w:pPr>
              <w:spacing w:after="0" w:line="240" w:lineRule="auto"/>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21</w:t>
            </w:r>
          </w:p>
        </w:tc>
        <w:tc>
          <w:tcPr>
            <w:tcW w:w="6650" w:type="dxa"/>
            <w:tcBorders>
              <w:top w:val="nil"/>
              <w:left w:val="nil"/>
              <w:bottom w:val="single" w:sz="4" w:space="0" w:color="auto"/>
              <w:right w:val="single" w:sz="4" w:space="0" w:color="auto"/>
            </w:tcBorders>
            <w:shd w:val="clear" w:color="auto" w:fill="auto"/>
            <w:noWrap/>
            <w:hideMark/>
          </w:tcPr>
          <w:p w:rsidR="00120B00" w:rsidRPr="00120B00" w:rsidRDefault="00120B00" w:rsidP="00120B00">
            <w:pPr>
              <w:spacing w:after="0" w:line="240" w:lineRule="auto"/>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Sağlık, Kültür ve Spor (SKS) biriminin sağladığı hizmetlerden</w:t>
            </w:r>
          </w:p>
        </w:tc>
        <w:tc>
          <w:tcPr>
            <w:tcW w:w="831" w:type="dxa"/>
            <w:tcBorders>
              <w:top w:val="single" w:sz="4" w:space="0" w:color="auto"/>
              <w:left w:val="single" w:sz="4" w:space="0" w:color="auto"/>
              <w:bottom w:val="single" w:sz="4" w:space="0" w:color="auto"/>
              <w:right w:val="single" w:sz="4" w:space="0" w:color="auto"/>
            </w:tcBorders>
            <w:shd w:val="clear" w:color="000000" w:fill="F0F7F5"/>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6%</w:t>
            </w:r>
          </w:p>
        </w:tc>
        <w:tc>
          <w:tcPr>
            <w:tcW w:w="687" w:type="dxa"/>
            <w:tcBorders>
              <w:top w:val="single" w:sz="4" w:space="0" w:color="auto"/>
              <w:left w:val="single" w:sz="4" w:space="0" w:color="auto"/>
              <w:bottom w:val="single" w:sz="4" w:space="0" w:color="auto"/>
              <w:right w:val="single" w:sz="4" w:space="0" w:color="auto"/>
            </w:tcBorders>
            <w:shd w:val="clear" w:color="000000" w:fill="B2DEBF"/>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35%</w:t>
            </w:r>
          </w:p>
        </w:tc>
        <w:tc>
          <w:tcPr>
            <w:tcW w:w="973" w:type="dxa"/>
            <w:tcBorders>
              <w:top w:val="single" w:sz="4" w:space="0" w:color="auto"/>
              <w:left w:val="single" w:sz="4" w:space="0" w:color="auto"/>
              <w:bottom w:val="single" w:sz="4" w:space="0" w:color="auto"/>
              <w:right w:val="single" w:sz="4" w:space="0" w:color="auto"/>
            </w:tcBorders>
            <w:shd w:val="clear" w:color="000000" w:fill="A6D9B5"/>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41%</w:t>
            </w:r>
          </w:p>
        </w:tc>
        <w:tc>
          <w:tcPr>
            <w:tcW w:w="646" w:type="dxa"/>
            <w:tcBorders>
              <w:top w:val="single" w:sz="4" w:space="0" w:color="auto"/>
              <w:left w:val="single" w:sz="4" w:space="0" w:color="auto"/>
              <w:bottom w:val="single" w:sz="4" w:space="0" w:color="auto"/>
              <w:right w:val="single" w:sz="4" w:space="0" w:color="auto"/>
            </w:tcBorders>
            <w:shd w:val="clear" w:color="000000" w:fill="F0F7F5"/>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6%</w:t>
            </w:r>
          </w:p>
        </w:tc>
        <w:tc>
          <w:tcPr>
            <w:tcW w:w="701" w:type="dxa"/>
            <w:tcBorders>
              <w:top w:val="single" w:sz="4" w:space="0" w:color="auto"/>
              <w:left w:val="single" w:sz="4" w:space="0" w:color="auto"/>
              <w:bottom w:val="single" w:sz="4" w:space="0" w:color="auto"/>
              <w:right w:val="single" w:sz="4" w:space="0" w:color="auto"/>
            </w:tcBorders>
            <w:shd w:val="clear" w:color="000000" w:fill="D7EDDF"/>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18%</w:t>
            </w:r>
          </w:p>
        </w:tc>
      </w:tr>
      <w:tr w:rsidR="00E500EA" w:rsidRPr="00120B00" w:rsidTr="00E500EA">
        <w:trPr>
          <w:trHeight w:val="261"/>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rsidR="00120B00" w:rsidRPr="00120B00" w:rsidRDefault="00120B00" w:rsidP="00120B00">
            <w:pPr>
              <w:spacing w:after="0" w:line="240" w:lineRule="auto"/>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22</w:t>
            </w:r>
          </w:p>
        </w:tc>
        <w:tc>
          <w:tcPr>
            <w:tcW w:w="6650" w:type="dxa"/>
            <w:tcBorders>
              <w:top w:val="nil"/>
              <w:left w:val="nil"/>
              <w:bottom w:val="single" w:sz="4" w:space="0" w:color="auto"/>
              <w:right w:val="single" w:sz="4" w:space="0" w:color="auto"/>
            </w:tcBorders>
            <w:shd w:val="clear" w:color="auto" w:fill="auto"/>
            <w:noWrap/>
            <w:hideMark/>
          </w:tcPr>
          <w:p w:rsidR="00120B00" w:rsidRPr="00120B00" w:rsidRDefault="00120B00" w:rsidP="00120B00">
            <w:pPr>
              <w:spacing w:after="0" w:line="240" w:lineRule="auto"/>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Ek ders, yolluk ve benzeri ödeme süreçlerinden</w:t>
            </w:r>
          </w:p>
        </w:tc>
        <w:tc>
          <w:tcPr>
            <w:tcW w:w="831" w:type="dxa"/>
            <w:tcBorders>
              <w:top w:val="single" w:sz="4" w:space="0" w:color="auto"/>
              <w:left w:val="single" w:sz="4" w:space="0" w:color="auto"/>
              <w:bottom w:val="single" w:sz="4" w:space="0" w:color="auto"/>
              <w:right w:val="single" w:sz="4" w:space="0" w:color="auto"/>
            </w:tcBorders>
            <w:shd w:val="clear" w:color="000000" w:fill="E2F2E9"/>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13%</w:t>
            </w:r>
          </w:p>
        </w:tc>
        <w:tc>
          <w:tcPr>
            <w:tcW w:w="687" w:type="dxa"/>
            <w:tcBorders>
              <w:top w:val="single" w:sz="4" w:space="0" w:color="auto"/>
              <w:left w:val="single" w:sz="4" w:space="0" w:color="auto"/>
              <w:bottom w:val="single" w:sz="4" w:space="0" w:color="auto"/>
              <w:right w:val="single" w:sz="4" w:space="0" w:color="auto"/>
            </w:tcBorders>
            <w:shd w:val="clear" w:color="000000" w:fill="A0D7B0"/>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44%</w:t>
            </w:r>
          </w:p>
        </w:tc>
        <w:tc>
          <w:tcPr>
            <w:tcW w:w="973" w:type="dxa"/>
            <w:tcBorders>
              <w:top w:val="single" w:sz="4" w:space="0" w:color="auto"/>
              <w:left w:val="single" w:sz="4" w:space="0" w:color="auto"/>
              <w:bottom w:val="single" w:sz="4" w:space="0" w:color="auto"/>
              <w:right w:val="single" w:sz="4" w:space="0" w:color="auto"/>
            </w:tcBorders>
            <w:shd w:val="clear" w:color="000000" w:fill="D5EDDD"/>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19%</w:t>
            </w:r>
          </w:p>
        </w:tc>
        <w:tc>
          <w:tcPr>
            <w:tcW w:w="646" w:type="dxa"/>
            <w:tcBorders>
              <w:top w:val="single" w:sz="4" w:space="0" w:color="auto"/>
              <w:left w:val="single" w:sz="4" w:space="0" w:color="auto"/>
              <w:bottom w:val="single" w:sz="4" w:space="0" w:color="auto"/>
              <w:right w:val="single" w:sz="4" w:space="0" w:color="auto"/>
            </w:tcBorders>
            <w:shd w:val="clear" w:color="000000" w:fill="EFF7F4"/>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6%</w:t>
            </w:r>
          </w:p>
        </w:tc>
        <w:tc>
          <w:tcPr>
            <w:tcW w:w="701" w:type="dxa"/>
            <w:tcBorders>
              <w:top w:val="single" w:sz="4" w:space="0" w:color="auto"/>
              <w:left w:val="single" w:sz="4" w:space="0" w:color="auto"/>
              <w:bottom w:val="single" w:sz="4" w:space="0" w:color="auto"/>
              <w:right w:val="single" w:sz="4" w:space="0" w:color="auto"/>
            </w:tcBorders>
            <w:shd w:val="clear" w:color="000000" w:fill="BFE3CA"/>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29%</w:t>
            </w:r>
          </w:p>
        </w:tc>
      </w:tr>
      <w:tr w:rsidR="00E500EA" w:rsidRPr="00120B00" w:rsidTr="00E500EA">
        <w:trPr>
          <w:trHeight w:val="261"/>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rsidR="00120B00" w:rsidRPr="00120B00" w:rsidRDefault="00120B00" w:rsidP="00120B00">
            <w:pPr>
              <w:spacing w:after="0" w:line="240" w:lineRule="auto"/>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23</w:t>
            </w:r>
          </w:p>
        </w:tc>
        <w:tc>
          <w:tcPr>
            <w:tcW w:w="6650" w:type="dxa"/>
            <w:tcBorders>
              <w:top w:val="nil"/>
              <w:left w:val="nil"/>
              <w:bottom w:val="single" w:sz="4" w:space="0" w:color="auto"/>
              <w:right w:val="single" w:sz="4" w:space="0" w:color="auto"/>
            </w:tcBorders>
            <w:shd w:val="clear" w:color="auto" w:fill="auto"/>
            <w:noWrap/>
            <w:hideMark/>
          </w:tcPr>
          <w:p w:rsidR="00120B00" w:rsidRPr="00120B00" w:rsidRDefault="00120B00" w:rsidP="00120B00">
            <w:pPr>
              <w:spacing w:after="0" w:line="240" w:lineRule="auto"/>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Bilgi İşlem Daire Başkanlığı hizmetlerinden</w:t>
            </w:r>
          </w:p>
        </w:tc>
        <w:tc>
          <w:tcPr>
            <w:tcW w:w="831" w:type="dxa"/>
            <w:tcBorders>
              <w:top w:val="single" w:sz="4" w:space="0" w:color="auto"/>
              <w:left w:val="single" w:sz="4" w:space="0" w:color="auto"/>
              <w:bottom w:val="single" w:sz="4" w:space="0" w:color="auto"/>
              <w:right w:val="single" w:sz="4" w:space="0" w:color="auto"/>
            </w:tcBorders>
            <w:shd w:val="clear" w:color="000000" w:fill="E2F2E9"/>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13%</w:t>
            </w:r>
          </w:p>
        </w:tc>
        <w:tc>
          <w:tcPr>
            <w:tcW w:w="687" w:type="dxa"/>
            <w:tcBorders>
              <w:top w:val="single" w:sz="4" w:space="0" w:color="auto"/>
              <w:left w:val="single" w:sz="4" w:space="0" w:color="auto"/>
              <w:bottom w:val="single" w:sz="4" w:space="0" w:color="auto"/>
              <w:right w:val="single" w:sz="4" w:space="0" w:color="auto"/>
            </w:tcBorders>
            <w:shd w:val="clear" w:color="000000" w:fill="93D2A5"/>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50%</w:t>
            </w:r>
          </w:p>
        </w:tc>
        <w:tc>
          <w:tcPr>
            <w:tcW w:w="973" w:type="dxa"/>
            <w:tcBorders>
              <w:top w:val="single" w:sz="4" w:space="0" w:color="auto"/>
              <w:left w:val="single" w:sz="4" w:space="0" w:color="auto"/>
              <w:bottom w:val="single" w:sz="4" w:space="0" w:color="auto"/>
              <w:right w:val="single" w:sz="4" w:space="0" w:color="auto"/>
            </w:tcBorders>
            <w:shd w:val="clear" w:color="000000" w:fill="BBE2C7"/>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31%</w:t>
            </w:r>
          </w:p>
        </w:tc>
        <w:tc>
          <w:tcPr>
            <w:tcW w:w="646" w:type="dxa"/>
            <w:tcBorders>
              <w:top w:val="single" w:sz="4" w:space="0" w:color="auto"/>
              <w:left w:val="single" w:sz="4" w:space="0" w:color="auto"/>
              <w:bottom w:val="single" w:sz="4" w:space="0" w:color="auto"/>
              <w:right w:val="single" w:sz="4" w:space="0" w:color="auto"/>
            </w:tcBorders>
            <w:shd w:val="clear" w:color="000000" w:fill="FCFCFF"/>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0%</w:t>
            </w:r>
          </w:p>
        </w:tc>
        <w:tc>
          <w:tcPr>
            <w:tcW w:w="701" w:type="dxa"/>
            <w:tcBorders>
              <w:top w:val="single" w:sz="4" w:space="0" w:color="auto"/>
              <w:left w:val="single" w:sz="4" w:space="0" w:color="auto"/>
              <w:bottom w:val="single" w:sz="4" w:space="0" w:color="auto"/>
              <w:right w:val="single" w:sz="4" w:space="0" w:color="auto"/>
            </w:tcBorders>
            <w:shd w:val="clear" w:color="000000" w:fill="D7EDDF"/>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18%</w:t>
            </w:r>
          </w:p>
        </w:tc>
      </w:tr>
      <w:tr w:rsidR="00E500EA" w:rsidRPr="00120B00" w:rsidTr="00E500EA">
        <w:trPr>
          <w:trHeight w:val="261"/>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rsidR="00120B00" w:rsidRPr="00120B00" w:rsidRDefault="00120B00" w:rsidP="00120B00">
            <w:pPr>
              <w:spacing w:after="0" w:line="240" w:lineRule="auto"/>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24</w:t>
            </w:r>
          </w:p>
        </w:tc>
        <w:tc>
          <w:tcPr>
            <w:tcW w:w="6650" w:type="dxa"/>
            <w:tcBorders>
              <w:top w:val="nil"/>
              <w:left w:val="nil"/>
              <w:bottom w:val="single" w:sz="4" w:space="0" w:color="auto"/>
              <w:right w:val="single" w:sz="4" w:space="0" w:color="auto"/>
            </w:tcBorders>
            <w:shd w:val="clear" w:color="auto" w:fill="auto"/>
            <w:noWrap/>
            <w:hideMark/>
          </w:tcPr>
          <w:p w:rsidR="00120B00" w:rsidRPr="00120B00" w:rsidRDefault="00120B00" w:rsidP="00120B00">
            <w:pPr>
              <w:spacing w:after="0" w:line="240" w:lineRule="auto"/>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Hukuk destek hizmetlerinden</w:t>
            </w:r>
          </w:p>
        </w:tc>
        <w:tc>
          <w:tcPr>
            <w:tcW w:w="831" w:type="dxa"/>
            <w:tcBorders>
              <w:top w:val="single" w:sz="4" w:space="0" w:color="auto"/>
              <w:left w:val="single" w:sz="4" w:space="0" w:color="auto"/>
              <w:bottom w:val="single" w:sz="4" w:space="0" w:color="auto"/>
              <w:right w:val="single" w:sz="4" w:space="0" w:color="auto"/>
            </w:tcBorders>
            <w:shd w:val="clear" w:color="000000" w:fill="F0F7F5"/>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6%</w:t>
            </w:r>
          </w:p>
        </w:tc>
        <w:tc>
          <w:tcPr>
            <w:tcW w:w="687" w:type="dxa"/>
            <w:tcBorders>
              <w:top w:val="single" w:sz="4" w:space="0" w:color="auto"/>
              <w:left w:val="single" w:sz="4" w:space="0" w:color="auto"/>
              <w:bottom w:val="single" w:sz="4" w:space="0" w:color="auto"/>
              <w:right w:val="single" w:sz="4" w:space="0" w:color="auto"/>
            </w:tcBorders>
            <w:shd w:val="clear" w:color="000000" w:fill="CBE8D5"/>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24%</w:t>
            </w:r>
          </w:p>
        </w:tc>
        <w:tc>
          <w:tcPr>
            <w:tcW w:w="973" w:type="dxa"/>
            <w:tcBorders>
              <w:top w:val="single" w:sz="4" w:space="0" w:color="auto"/>
              <w:left w:val="single" w:sz="4" w:space="0" w:color="auto"/>
              <w:bottom w:val="single" w:sz="4" w:space="0" w:color="auto"/>
              <w:right w:val="single" w:sz="4" w:space="0" w:color="auto"/>
            </w:tcBorders>
            <w:shd w:val="clear" w:color="000000" w:fill="81CA95"/>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59%</w:t>
            </w:r>
          </w:p>
        </w:tc>
        <w:tc>
          <w:tcPr>
            <w:tcW w:w="646" w:type="dxa"/>
            <w:tcBorders>
              <w:top w:val="single" w:sz="4" w:space="0" w:color="auto"/>
              <w:left w:val="single" w:sz="4" w:space="0" w:color="auto"/>
              <w:bottom w:val="single" w:sz="4" w:space="0" w:color="auto"/>
              <w:right w:val="single" w:sz="4" w:space="0" w:color="auto"/>
            </w:tcBorders>
            <w:shd w:val="clear" w:color="000000" w:fill="FCFCFF"/>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0%</w:t>
            </w:r>
          </w:p>
        </w:tc>
        <w:tc>
          <w:tcPr>
            <w:tcW w:w="701" w:type="dxa"/>
            <w:tcBorders>
              <w:top w:val="single" w:sz="4" w:space="0" w:color="auto"/>
              <w:left w:val="single" w:sz="4" w:space="0" w:color="auto"/>
              <w:bottom w:val="single" w:sz="4" w:space="0" w:color="auto"/>
              <w:right w:val="single" w:sz="4" w:space="0" w:color="auto"/>
            </w:tcBorders>
            <w:shd w:val="clear" w:color="000000" w:fill="D7EDDF"/>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18%</w:t>
            </w:r>
          </w:p>
        </w:tc>
      </w:tr>
      <w:tr w:rsidR="00E500EA" w:rsidRPr="00120B00" w:rsidTr="00E500EA">
        <w:trPr>
          <w:trHeight w:val="261"/>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rsidR="00120B00" w:rsidRPr="00120B00" w:rsidRDefault="00120B00" w:rsidP="00120B00">
            <w:pPr>
              <w:spacing w:after="0" w:line="240" w:lineRule="auto"/>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25</w:t>
            </w:r>
          </w:p>
        </w:tc>
        <w:tc>
          <w:tcPr>
            <w:tcW w:w="6650" w:type="dxa"/>
            <w:tcBorders>
              <w:top w:val="nil"/>
              <w:left w:val="nil"/>
              <w:bottom w:val="single" w:sz="4" w:space="0" w:color="auto"/>
              <w:right w:val="single" w:sz="4" w:space="0" w:color="auto"/>
            </w:tcBorders>
            <w:shd w:val="clear" w:color="auto" w:fill="auto"/>
            <w:noWrap/>
            <w:hideMark/>
          </w:tcPr>
          <w:p w:rsidR="00120B00" w:rsidRPr="00120B00" w:rsidRDefault="00120B00" w:rsidP="00120B00">
            <w:pPr>
              <w:spacing w:after="0" w:line="240" w:lineRule="auto"/>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Öğrenci işleri hizmetlerinden</w:t>
            </w:r>
          </w:p>
        </w:tc>
        <w:tc>
          <w:tcPr>
            <w:tcW w:w="831" w:type="dxa"/>
            <w:tcBorders>
              <w:top w:val="single" w:sz="4" w:space="0" w:color="auto"/>
              <w:left w:val="single" w:sz="4" w:space="0" w:color="auto"/>
              <w:bottom w:val="single" w:sz="4" w:space="0" w:color="auto"/>
              <w:right w:val="single" w:sz="4" w:space="0" w:color="auto"/>
            </w:tcBorders>
            <w:shd w:val="clear" w:color="000000" w:fill="93D2A5"/>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50%</w:t>
            </w:r>
          </w:p>
        </w:tc>
        <w:tc>
          <w:tcPr>
            <w:tcW w:w="687" w:type="dxa"/>
            <w:tcBorders>
              <w:top w:val="single" w:sz="4" w:space="0" w:color="auto"/>
              <w:left w:val="single" w:sz="4" w:space="0" w:color="auto"/>
              <w:bottom w:val="single" w:sz="4" w:space="0" w:color="auto"/>
              <w:right w:val="single" w:sz="4" w:space="0" w:color="auto"/>
            </w:tcBorders>
            <w:shd w:val="clear" w:color="000000" w:fill="70C486"/>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67%</w:t>
            </w:r>
          </w:p>
        </w:tc>
        <w:tc>
          <w:tcPr>
            <w:tcW w:w="973" w:type="dxa"/>
            <w:tcBorders>
              <w:top w:val="single" w:sz="4" w:space="0" w:color="auto"/>
              <w:left w:val="single" w:sz="4" w:space="0" w:color="auto"/>
              <w:bottom w:val="single" w:sz="4" w:space="0" w:color="auto"/>
              <w:right w:val="single" w:sz="4" w:space="0" w:color="auto"/>
            </w:tcBorders>
            <w:shd w:val="clear" w:color="000000" w:fill="C8E7D2"/>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25%</w:t>
            </w:r>
          </w:p>
        </w:tc>
        <w:tc>
          <w:tcPr>
            <w:tcW w:w="646" w:type="dxa"/>
            <w:tcBorders>
              <w:top w:val="single" w:sz="4" w:space="0" w:color="auto"/>
              <w:left w:val="single" w:sz="4" w:space="0" w:color="auto"/>
              <w:bottom w:val="single" w:sz="4" w:space="0" w:color="auto"/>
              <w:right w:val="single" w:sz="4" w:space="0" w:color="auto"/>
            </w:tcBorders>
            <w:shd w:val="clear" w:color="000000" w:fill="FCFCFF"/>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0%</w:t>
            </w:r>
          </w:p>
        </w:tc>
        <w:tc>
          <w:tcPr>
            <w:tcW w:w="701" w:type="dxa"/>
            <w:tcBorders>
              <w:top w:val="single" w:sz="4" w:space="0" w:color="auto"/>
              <w:left w:val="single" w:sz="4" w:space="0" w:color="auto"/>
              <w:bottom w:val="single" w:sz="4" w:space="0" w:color="auto"/>
              <w:right w:val="single" w:sz="4" w:space="0" w:color="auto"/>
            </w:tcBorders>
            <w:shd w:val="clear" w:color="000000" w:fill="F0F7F5"/>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6%</w:t>
            </w:r>
          </w:p>
        </w:tc>
      </w:tr>
      <w:tr w:rsidR="00E500EA" w:rsidRPr="00120B00" w:rsidTr="00E500EA">
        <w:trPr>
          <w:trHeight w:val="261"/>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rsidR="00120B00" w:rsidRPr="00120B00" w:rsidRDefault="00120B00" w:rsidP="00120B00">
            <w:pPr>
              <w:spacing w:after="0" w:line="240" w:lineRule="auto"/>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26</w:t>
            </w:r>
          </w:p>
        </w:tc>
        <w:tc>
          <w:tcPr>
            <w:tcW w:w="6650" w:type="dxa"/>
            <w:tcBorders>
              <w:top w:val="nil"/>
              <w:left w:val="nil"/>
              <w:bottom w:val="single" w:sz="4" w:space="0" w:color="auto"/>
              <w:right w:val="single" w:sz="4" w:space="0" w:color="auto"/>
            </w:tcBorders>
            <w:shd w:val="clear" w:color="auto" w:fill="auto"/>
            <w:noWrap/>
            <w:hideMark/>
          </w:tcPr>
          <w:p w:rsidR="00120B00" w:rsidRPr="00120B00" w:rsidRDefault="00120B00" w:rsidP="00120B00">
            <w:pPr>
              <w:spacing w:after="0" w:line="240" w:lineRule="auto"/>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Güvenlik hizmetlerinden</w:t>
            </w:r>
          </w:p>
        </w:tc>
        <w:tc>
          <w:tcPr>
            <w:tcW w:w="831" w:type="dxa"/>
            <w:tcBorders>
              <w:top w:val="single" w:sz="4" w:space="0" w:color="auto"/>
              <w:left w:val="single" w:sz="4" w:space="0" w:color="auto"/>
              <w:bottom w:val="single" w:sz="4" w:space="0" w:color="auto"/>
              <w:right w:val="single" w:sz="4" w:space="0" w:color="auto"/>
            </w:tcBorders>
            <w:shd w:val="clear" w:color="000000" w:fill="EFF7F4"/>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6%</w:t>
            </w:r>
          </w:p>
        </w:tc>
        <w:tc>
          <w:tcPr>
            <w:tcW w:w="687" w:type="dxa"/>
            <w:tcBorders>
              <w:top w:val="single" w:sz="4" w:space="0" w:color="auto"/>
              <w:left w:val="single" w:sz="4" w:space="0" w:color="auto"/>
              <w:bottom w:val="single" w:sz="4" w:space="0" w:color="auto"/>
              <w:right w:val="single" w:sz="4" w:space="0" w:color="auto"/>
            </w:tcBorders>
            <w:shd w:val="clear" w:color="000000" w:fill="93D2A5"/>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50%</w:t>
            </w:r>
          </w:p>
        </w:tc>
        <w:tc>
          <w:tcPr>
            <w:tcW w:w="973" w:type="dxa"/>
            <w:tcBorders>
              <w:top w:val="single" w:sz="4" w:space="0" w:color="auto"/>
              <w:left w:val="single" w:sz="4" w:space="0" w:color="auto"/>
              <w:bottom w:val="single" w:sz="4" w:space="0" w:color="auto"/>
              <w:right w:val="single" w:sz="4" w:space="0" w:color="auto"/>
            </w:tcBorders>
            <w:shd w:val="clear" w:color="000000" w:fill="BBE2C7"/>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31%</w:t>
            </w:r>
          </w:p>
        </w:tc>
        <w:tc>
          <w:tcPr>
            <w:tcW w:w="646" w:type="dxa"/>
            <w:tcBorders>
              <w:top w:val="single" w:sz="4" w:space="0" w:color="auto"/>
              <w:left w:val="single" w:sz="4" w:space="0" w:color="auto"/>
              <w:bottom w:val="single" w:sz="4" w:space="0" w:color="auto"/>
              <w:right w:val="single" w:sz="4" w:space="0" w:color="auto"/>
            </w:tcBorders>
            <w:shd w:val="clear" w:color="000000" w:fill="EFF7F4"/>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6%</w:t>
            </w:r>
          </w:p>
        </w:tc>
        <w:tc>
          <w:tcPr>
            <w:tcW w:w="701" w:type="dxa"/>
            <w:tcBorders>
              <w:top w:val="single" w:sz="4" w:space="0" w:color="auto"/>
              <w:left w:val="single" w:sz="4" w:space="0" w:color="auto"/>
              <w:bottom w:val="single" w:sz="4" w:space="0" w:color="auto"/>
              <w:right w:val="single" w:sz="4" w:space="0" w:color="auto"/>
            </w:tcBorders>
            <w:shd w:val="clear" w:color="000000" w:fill="E4F2EA"/>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12%</w:t>
            </w:r>
          </w:p>
        </w:tc>
      </w:tr>
      <w:tr w:rsidR="00E500EA" w:rsidRPr="00120B00" w:rsidTr="00E500EA">
        <w:trPr>
          <w:trHeight w:val="261"/>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rsidR="00120B00" w:rsidRPr="00120B00" w:rsidRDefault="00120B00" w:rsidP="00120B00">
            <w:pPr>
              <w:spacing w:after="0" w:line="240" w:lineRule="auto"/>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27</w:t>
            </w:r>
          </w:p>
        </w:tc>
        <w:tc>
          <w:tcPr>
            <w:tcW w:w="6650" w:type="dxa"/>
            <w:tcBorders>
              <w:top w:val="nil"/>
              <w:left w:val="nil"/>
              <w:bottom w:val="single" w:sz="4" w:space="0" w:color="auto"/>
              <w:right w:val="single" w:sz="4" w:space="0" w:color="auto"/>
            </w:tcBorders>
            <w:shd w:val="clear" w:color="auto" w:fill="auto"/>
            <w:noWrap/>
            <w:hideMark/>
          </w:tcPr>
          <w:p w:rsidR="00120B00" w:rsidRPr="00120B00" w:rsidRDefault="00120B00" w:rsidP="00120B00">
            <w:pPr>
              <w:spacing w:after="0" w:line="240" w:lineRule="auto"/>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Yemekhane hizmetlerinden</w:t>
            </w:r>
          </w:p>
        </w:tc>
        <w:tc>
          <w:tcPr>
            <w:tcW w:w="831" w:type="dxa"/>
            <w:tcBorders>
              <w:top w:val="single" w:sz="4" w:space="0" w:color="auto"/>
              <w:left w:val="single" w:sz="4" w:space="0" w:color="auto"/>
              <w:bottom w:val="single" w:sz="4" w:space="0" w:color="auto"/>
              <w:right w:val="single" w:sz="4" w:space="0" w:color="auto"/>
            </w:tcBorders>
            <w:shd w:val="clear" w:color="000000" w:fill="F0F7F5"/>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6%</w:t>
            </w:r>
          </w:p>
        </w:tc>
        <w:tc>
          <w:tcPr>
            <w:tcW w:w="687" w:type="dxa"/>
            <w:tcBorders>
              <w:top w:val="single" w:sz="4" w:space="0" w:color="auto"/>
              <w:left w:val="single" w:sz="4" w:space="0" w:color="auto"/>
              <w:bottom w:val="single" w:sz="4" w:space="0" w:color="auto"/>
              <w:right w:val="single" w:sz="4" w:space="0" w:color="auto"/>
            </w:tcBorders>
            <w:shd w:val="clear" w:color="000000" w:fill="BFE3CA"/>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29%</w:t>
            </w:r>
          </w:p>
        </w:tc>
        <w:tc>
          <w:tcPr>
            <w:tcW w:w="973" w:type="dxa"/>
            <w:tcBorders>
              <w:top w:val="single" w:sz="4" w:space="0" w:color="auto"/>
              <w:left w:val="single" w:sz="4" w:space="0" w:color="auto"/>
              <w:bottom w:val="single" w:sz="4" w:space="0" w:color="auto"/>
              <w:right w:val="single" w:sz="4" w:space="0" w:color="auto"/>
            </w:tcBorders>
            <w:shd w:val="clear" w:color="000000" w:fill="D7EDDF"/>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18%</w:t>
            </w:r>
          </w:p>
        </w:tc>
        <w:tc>
          <w:tcPr>
            <w:tcW w:w="646" w:type="dxa"/>
            <w:tcBorders>
              <w:top w:val="single" w:sz="4" w:space="0" w:color="auto"/>
              <w:left w:val="single" w:sz="4" w:space="0" w:color="auto"/>
              <w:bottom w:val="single" w:sz="4" w:space="0" w:color="auto"/>
              <w:right w:val="single" w:sz="4" w:space="0" w:color="auto"/>
            </w:tcBorders>
            <w:shd w:val="clear" w:color="000000" w:fill="CBE8D5"/>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24%</w:t>
            </w:r>
          </w:p>
        </w:tc>
        <w:tc>
          <w:tcPr>
            <w:tcW w:w="701" w:type="dxa"/>
            <w:tcBorders>
              <w:top w:val="single" w:sz="4" w:space="0" w:color="auto"/>
              <w:left w:val="single" w:sz="4" w:space="0" w:color="auto"/>
              <w:bottom w:val="single" w:sz="4" w:space="0" w:color="auto"/>
              <w:right w:val="single" w:sz="4" w:space="0" w:color="auto"/>
            </w:tcBorders>
            <w:shd w:val="clear" w:color="000000" w:fill="BFE3CA"/>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29%</w:t>
            </w:r>
          </w:p>
        </w:tc>
      </w:tr>
      <w:tr w:rsidR="00E500EA" w:rsidRPr="00120B00" w:rsidTr="00E500EA">
        <w:trPr>
          <w:trHeight w:val="261"/>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rsidR="00120B00" w:rsidRPr="00120B00" w:rsidRDefault="00120B00" w:rsidP="00120B00">
            <w:pPr>
              <w:spacing w:after="0" w:line="240" w:lineRule="auto"/>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28</w:t>
            </w:r>
          </w:p>
        </w:tc>
        <w:tc>
          <w:tcPr>
            <w:tcW w:w="6650" w:type="dxa"/>
            <w:tcBorders>
              <w:top w:val="nil"/>
              <w:left w:val="nil"/>
              <w:bottom w:val="single" w:sz="4" w:space="0" w:color="auto"/>
              <w:right w:val="single" w:sz="4" w:space="0" w:color="auto"/>
            </w:tcBorders>
            <w:shd w:val="clear" w:color="auto" w:fill="auto"/>
            <w:noWrap/>
            <w:hideMark/>
          </w:tcPr>
          <w:p w:rsidR="00120B00" w:rsidRPr="00120B00" w:rsidRDefault="00120B00" w:rsidP="00120B00">
            <w:pPr>
              <w:spacing w:after="0" w:line="240" w:lineRule="auto"/>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Kantin hizmetlerinden</w:t>
            </w:r>
          </w:p>
        </w:tc>
        <w:tc>
          <w:tcPr>
            <w:tcW w:w="831" w:type="dxa"/>
            <w:tcBorders>
              <w:top w:val="single" w:sz="4" w:space="0" w:color="auto"/>
              <w:left w:val="single" w:sz="4" w:space="0" w:color="auto"/>
              <w:bottom w:val="single" w:sz="4" w:space="0" w:color="auto"/>
              <w:right w:val="single" w:sz="4" w:space="0" w:color="auto"/>
            </w:tcBorders>
            <w:shd w:val="clear" w:color="000000" w:fill="E2F2E9"/>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13%</w:t>
            </w:r>
          </w:p>
        </w:tc>
        <w:tc>
          <w:tcPr>
            <w:tcW w:w="687" w:type="dxa"/>
            <w:tcBorders>
              <w:top w:val="single" w:sz="4" w:space="0" w:color="auto"/>
              <w:left w:val="single" w:sz="4" w:space="0" w:color="auto"/>
              <w:bottom w:val="single" w:sz="4" w:space="0" w:color="auto"/>
              <w:right w:val="single" w:sz="4" w:space="0" w:color="auto"/>
            </w:tcBorders>
            <w:shd w:val="clear" w:color="000000" w:fill="A0D7B0"/>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44%</w:t>
            </w:r>
          </w:p>
        </w:tc>
        <w:tc>
          <w:tcPr>
            <w:tcW w:w="973" w:type="dxa"/>
            <w:tcBorders>
              <w:top w:val="single" w:sz="4" w:space="0" w:color="auto"/>
              <w:left w:val="single" w:sz="4" w:space="0" w:color="auto"/>
              <w:bottom w:val="single" w:sz="4" w:space="0" w:color="auto"/>
              <w:right w:val="single" w:sz="4" w:space="0" w:color="auto"/>
            </w:tcBorders>
            <w:shd w:val="clear" w:color="000000" w:fill="E2F2E9"/>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13%</w:t>
            </w:r>
          </w:p>
        </w:tc>
        <w:tc>
          <w:tcPr>
            <w:tcW w:w="646" w:type="dxa"/>
            <w:tcBorders>
              <w:top w:val="single" w:sz="4" w:space="0" w:color="auto"/>
              <w:left w:val="single" w:sz="4" w:space="0" w:color="auto"/>
              <w:bottom w:val="single" w:sz="4" w:space="0" w:color="auto"/>
              <w:right w:val="single" w:sz="4" w:space="0" w:color="auto"/>
            </w:tcBorders>
            <w:shd w:val="clear" w:color="000000" w:fill="D5EDDD"/>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19%</w:t>
            </w:r>
          </w:p>
        </w:tc>
        <w:tc>
          <w:tcPr>
            <w:tcW w:w="701" w:type="dxa"/>
            <w:tcBorders>
              <w:top w:val="single" w:sz="4" w:space="0" w:color="auto"/>
              <w:left w:val="single" w:sz="4" w:space="0" w:color="auto"/>
              <w:bottom w:val="single" w:sz="4" w:space="0" w:color="auto"/>
              <w:right w:val="single" w:sz="4" w:space="0" w:color="auto"/>
            </w:tcBorders>
            <w:shd w:val="clear" w:color="000000" w:fill="CBE8D5"/>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24%</w:t>
            </w:r>
          </w:p>
        </w:tc>
      </w:tr>
      <w:tr w:rsidR="00E500EA" w:rsidRPr="00120B00" w:rsidTr="00E500EA">
        <w:trPr>
          <w:trHeight w:val="261"/>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rsidR="00120B00" w:rsidRPr="00120B00" w:rsidRDefault="00120B00" w:rsidP="00120B00">
            <w:pPr>
              <w:spacing w:after="0" w:line="240" w:lineRule="auto"/>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29</w:t>
            </w:r>
          </w:p>
        </w:tc>
        <w:tc>
          <w:tcPr>
            <w:tcW w:w="6650" w:type="dxa"/>
            <w:tcBorders>
              <w:top w:val="nil"/>
              <w:left w:val="nil"/>
              <w:bottom w:val="single" w:sz="4" w:space="0" w:color="auto"/>
              <w:right w:val="single" w:sz="4" w:space="0" w:color="auto"/>
            </w:tcBorders>
            <w:shd w:val="clear" w:color="auto" w:fill="auto"/>
            <w:noWrap/>
            <w:hideMark/>
          </w:tcPr>
          <w:p w:rsidR="00120B00" w:rsidRPr="00120B00" w:rsidRDefault="00120B00" w:rsidP="00120B00">
            <w:pPr>
              <w:spacing w:after="0" w:line="240" w:lineRule="auto"/>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Yapı İşleri Daire Başkanlığı hizmetlerinden</w:t>
            </w:r>
          </w:p>
        </w:tc>
        <w:tc>
          <w:tcPr>
            <w:tcW w:w="831" w:type="dxa"/>
            <w:tcBorders>
              <w:top w:val="single" w:sz="4" w:space="0" w:color="auto"/>
              <w:left w:val="single" w:sz="4" w:space="0" w:color="auto"/>
              <w:bottom w:val="single" w:sz="4" w:space="0" w:color="auto"/>
              <w:right w:val="single" w:sz="4" w:space="0" w:color="auto"/>
            </w:tcBorders>
            <w:shd w:val="clear" w:color="000000" w:fill="F0F7F5"/>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6%</w:t>
            </w:r>
          </w:p>
        </w:tc>
        <w:tc>
          <w:tcPr>
            <w:tcW w:w="687" w:type="dxa"/>
            <w:tcBorders>
              <w:top w:val="single" w:sz="4" w:space="0" w:color="auto"/>
              <w:left w:val="single" w:sz="4" w:space="0" w:color="auto"/>
              <w:bottom w:val="single" w:sz="4" w:space="0" w:color="auto"/>
              <w:right w:val="single" w:sz="4" w:space="0" w:color="auto"/>
            </w:tcBorders>
            <w:shd w:val="clear" w:color="000000" w:fill="A6D9B5"/>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41%</w:t>
            </w:r>
          </w:p>
        </w:tc>
        <w:tc>
          <w:tcPr>
            <w:tcW w:w="973" w:type="dxa"/>
            <w:tcBorders>
              <w:top w:val="single" w:sz="4" w:space="0" w:color="auto"/>
              <w:left w:val="single" w:sz="4" w:space="0" w:color="auto"/>
              <w:bottom w:val="single" w:sz="4" w:space="0" w:color="auto"/>
              <w:right w:val="single" w:sz="4" w:space="0" w:color="auto"/>
            </w:tcBorders>
            <w:shd w:val="clear" w:color="000000" w:fill="B2DEBF"/>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35%</w:t>
            </w:r>
          </w:p>
        </w:tc>
        <w:tc>
          <w:tcPr>
            <w:tcW w:w="646" w:type="dxa"/>
            <w:tcBorders>
              <w:top w:val="single" w:sz="4" w:space="0" w:color="auto"/>
              <w:left w:val="single" w:sz="4" w:space="0" w:color="auto"/>
              <w:bottom w:val="single" w:sz="4" w:space="0" w:color="auto"/>
              <w:right w:val="single" w:sz="4" w:space="0" w:color="auto"/>
            </w:tcBorders>
            <w:shd w:val="clear" w:color="000000" w:fill="FCFCFF"/>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0%</w:t>
            </w:r>
          </w:p>
        </w:tc>
        <w:tc>
          <w:tcPr>
            <w:tcW w:w="701" w:type="dxa"/>
            <w:tcBorders>
              <w:top w:val="single" w:sz="4" w:space="0" w:color="auto"/>
              <w:left w:val="single" w:sz="4" w:space="0" w:color="auto"/>
              <w:bottom w:val="single" w:sz="4" w:space="0" w:color="auto"/>
              <w:right w:val="single" w:sz="4" w:space="0" w:color="auto"/>
            </w:tcBorders>
            <w:shd w:val="clear" w:color="000000" w:fill="CBE8D5"/>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24%</w:t>
            </w:r>
          </w:p>
        </w:tc>
      </w:tr>
      <w:tr w:rsidR="00E500EA" w:rsidRPr="00120B00" w:rsidTr="00E500EA">
        <w:trPr>
          <w:trHeight w:val="261"/>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rsidR="00120B00" w:rsidRPr="00120B00" w:rsidRDefault="00120B00" w:rsidP="00120B00">
            <w:pPr>
              <w:spacing w:after="0" w:line="240" w:lineRule="auto"/>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30</w:t>
            </w:r>
          </w:p>
        </w:tc>
        <w:tc>
          <w:tcPr>
            <w:tcW w:w="6650" w:type="dxa"/>
            <w:tcBorders>
              <w:top w:val="nil"/>
              <w:left w:val="nil"/>
              <w:bottom w:val="single" w:sz="4" w:space="0" w:color="auto"/>
              <w:right w:val="single" w:sz="4" w:space="0" w:color="auto"/>
            </w:tcBorders>
            <w:shd w:val="clear" w:color="auto" w:fill="auto"/>
            <w:noWrap/>
            <w:hideMark/>
          </w:tcPr>
          <w:p w:rsidR="00120B00" w:rsidRPr="00120B00" w:rsidRDefault="00120B00" w:rsidP="00120B00">
            <w:pPr>
              <w:spacing w:after="0" w:line="240" w:lineRule="auto"/>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Kurum ve odaların ısıtma-soğutma açısından yeterli olma durumundan</w:t>
            </w:r>
          </w:p>
        </w:tc>
        <w:tc>
          <w:tcPr>
            <w:tcW w:w="831" w:type="dxa"/>
            <w:tcBorders>
              <w:top w:val="single" w:sz="4" w:space="0" w:color="auto"/>
              <w:left w:val="single" w:sz="4" w:space="0" w:color="auto"/>
              <w:bottom w:val="single" w:sz="4" w:space="0" w:color="auto"/>
              <w:right w:val="single" w:sz="4" w:space="0" w:color="auto"/>
            </w:tcBorders>
            <w:shd w:val="clear" w:color="000000" w:fill="CFEAD9"/>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21%</w:t>
            </w:r>
          </w:p>
        </w:tc>
        <w:tc>
          <w:tcPr>
            <w:tcW w:w="687" w:type="dxa"/>
            <w:tcBorders>
              <w:top w:val="single" w:sz="4" w:space="0" w:color="auto"/>
              <w:left w:val="single" w:sz="4" w:space="0" w:color="auto"/>
              <w:bottom w:val="single" w:sz="4" w:space="0" w:color="auto"/>
              <w:right w:val="single" w:sz="4" w:space="0" w:color="auto"/>
            </w:tcBorders>
            <w:shd w:val="clear" w:color="000000" w:fill="C0E4CC"/>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29%</w:t>
            </w:r>
          </w:p>
        </w:tc>
        <w:tc>
          <w:tcPr>
            <w:tcW w:w="973" w:type="dxa"/>
            <w:tcBorders>
              <w:top w:val="single" w:sz="4" w:space="0" w:color="auto"/>
              <w:left w:val="single" w:sz="4" w:space="0" w:color="auto"/>
              <w:bottom w:val="single" w:sz="4" w:space="0" w:color="auto"/>
              <w:right w:val="single" w:sz="4" w:space="0" w:color="auto"/>
            </w:tcBorders>
            <w:shd w:val="clear" w:color="000000" w:fill="B1DEBF"/>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36%</w:t>
            </w:r>
          </w:p>
        </w:tc>
        <w:tc>
          <w:tcPr>
            <w:tcW w:w="646" w:type="dxa"/>
            <w:tcBorders>
              <w:top w:val="single" w:sz="4" w:space="0" w:color="auto"/>
              <w:left w:val="single" w:sz="4" w:space="0" w:color="auto"/>
              <w:bottom w:val="single" w:sz="4" w:space="0" w:color="auto"/>
              <w:right w:val="single" w:sz="4" w:space="0" w:color="auto"/>
            </w:tcBorders>
            <w:shd w:val="clear" w:color="000000" w:fill="FCFCFF"/>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0%</w:t>
            </w:r>
          </w:p>
        </w:tc>
        <w:tc>
          <w:tcPr>
            <w:tcW w:w="701" w:type="dxa"/>
            <w:tcBorders>
              <w:top w:val="single" w:sz="4" w:space="0" w:color="auto"/>
              <w:left w:val="single" w:sz="4" w:space="0" w:color="auto"/>
              <w:bottom w:val="single" w:sz="4" w:space="0" w:color="auto"/>
              <w:right w:val="single" w:sz="4" w:space="0" w:color="auto"/>
            </w:tcBorders>
            <w:shd w:val="clear" w:color="000000" w:fill="BFE3CA"/>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29%</w:t>
            </w:r>
          </w:p>
        </w:tc>
      </w:tr>
      <w:tr w:rsidR="00E500EA" w:rsidRPr="00120B00" w:rsidTr="00E500EA">
        <w:trPr>
          <w:trHeight w:val="261"/>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rsidR="00120B00" w:rsidRPr="00120B00" w:rsidRDefault="00120B00" w:rsidP="00120B00">
            <w:pPr>
              <w:spacing w:after="0" w:line="240" w:lineRule="auto"/>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31</w:t>
            </w:r>
          </w:p>
        </w:tc>
        <w:tc>
          <w:tcPr>
            <w:tcW w:w="6650" w:type="dxa"/>
            <w:tcBorders>
              <w:top w:val="nil"/>
              <w:left w:val="nil"/>
              <w:bottom w:val="single" w:sz="4" w:space="0" w:color="auto"/>
              <w:right w:val="single" w:sz="4" w:space="0" w:color="auto"/>
            </w:tcBorders>
            <w:shd w:val="clear" w:color="auto" w:fill="auto"/>
            <w:noWrap/>
            <w:hideMark/>
          </w:tcPr>
          <w:p w:rsidR="00120B00" w:rsidRPr="00120B00" w:rsidRDefault="00120B00" w:rsidP="00120B00">
            <w:pPr>
              <w:spacing w:after="0" w:line="240" w:lineRule="auto"/>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Kurum ve odaların aydınlatma açısından yeterli olma durumundan</w:t>
            </w:r>
          </w:p>
        </w:tc>
        <w:tc>
          <w:tcPr>
            <w:tcW w:w="831" w:type="dxa"/>
            <w:tcBorders>
              <w:top w:val="single" w:sz="4" w:space="0" w:color="auto"/>
              <w:left w:val="single" w:sz="4" w:space="0" w:color="auto"/>
              <w:bottom w:val="single" w:sz="4" w:space="0" w:color="auto"/>
              <w:right w:val="single" w:sz="4" w:space="0" w:color="auto"/>
            </w:tcBorders>
            <w:shd w:val="clear" w:color="000000" w:fill="CCE9D6"/>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23%</w:t>
            </w:r>
          </w:p>
        </w:tc>
        <w:tc>
          <w:tcPr>
            <w:tcW w:w="687" w:type="dxa"/>
            <w:tcBorders>
              <w:top w:val="single" w:sz="4" w:space="0" w:color="auto"/>
              <w:left w:val="single" w:sz="4" w:space="0" w:color="auto"/>
              <w:bottom w:val="single" w:sz="4" w:space="0" w:color="auto"/>
              <w:right w:val="single" w:sz="4" w:space="0" w:color="auto"/>
            </w:tcBorders>
            <w:shd w:val="clear" w:color="000000" w:fill="8BCF9E"/>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54%</w:t>
            </w:r>
          </w:p>
        </w:tc>
        <w:tc>
          <w:tcPr>
            <w:tcW w:w="973" w:type="dxa"/>
            <w:tcBorders>
              <w:top w:val="single" w:sz="4" w:space="0" w:color="auto"/>
              <w:left w:val="single" w:sz="4" w:space="0" w:color="auto"/>
              <w:bottom w:val="single" w:sz="4" w:space="0" w:color="auto"/>
              <w:right w:val="single" w:sz="4" w:space="0" w:color="auto"/>
            </w:tcBorders>
            <w:shd w:val="clear" w:color="000000" w:fill="BCE2C8"/>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31%</w:t>
            </w:r>
          </w:p>
        </w:tc>
        <w:tc>
          <w:tcPr>
            <w:tcW w:w="646" w:type="dxa"/>
            <w:tcBorders>
              <w:top w:val="single" w:sz="4" w:space="0" w:color="auto"/>
              <w:left w:val="single" w:sz="4" w:space="0" w:color="auto"/>
              <w:bottom w:val="single" w:sz="4" w:space="0" w:color="auto"/>
              <w:right w:val="single" w:sz="4" w:space="0" w:color="auto"/>
            </w:tcBorders>
            <w:shd w:val="clear" w:color="000000" w:fill="FCFCFF"/>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0%</w:t>
            </w:r>
          </w:p>
        </w:tc>
        <w:tc>
          <w:tcPr>
            <w:tcW w:w="701" w:type="dxa"/>
            <w:tcBorders>
              <w:top w:val="single" w:sz="4" w:space="0" w:color="auto"/>
              <w:left w:val="single" w:sz="4" w:space="0" w:color="auto"/>
              <w:bottom w:val="single" w:sz="4" w:space="0" w:color="auto"/>
              <w:right w:val="single" w:sz="4" w:space="0" w:color="auto"/>
            </w:tcBorders>
            <w:shd w:val="clear" w:color="000000" w:fill="E4F2EA"/>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12%</w:t>
            </w:r>
          </w:p>
        </w:tc>
      </w:tr>
      <w:tr w:rsidR="00E500EA" w:rsidRPr="00120B00" w:rsidTr="00E500EA">
        <w:trPr>
          <w:trHeight w:val="261"/>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rsidR="00120B00" w:rsidRPr="00120B00" w:rsidRDefault="00120B00" w:rsidP="00120B00">
            <w:pPr>
              <w:spacing w:after="0" w:line="240" w:lineRule="auto"/>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32</w:t>
            </w:r>
          </w:p>
        </w:tc>
        <w:tc>
          <w:tcPr>
            <w:tcW w:w="6650" w:type="dxa"/>
            <w:tcBorders>
              <w:top w:val="nil"/>
              <w:left w:val="nil"/>
              <w:bottom w:val="single" w:sz="4" w:space="0" w:color="auto"/>
              <w:right w:val="single" w:sz="4" w:space="0" w:color="auto"/>
            </w:tcBorders>
            <w:shd w:val="clear" w:color="auto" w:fill="auto"/>
            <w:noWrap/>
            <w:hideMark/>
          </w:tcPr>
          <w:p w:rsidR="00120B00" w:rsidRPr="00120B00" w:rsidRDefault="00120B00" w:rsidP="00120B00">
            <w:pPr>
              <w:spacing w:after="0" w:line="240" w:lineRule="auto"/>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Kongre-toplantı salonlarının sayı ve fiziksel açıdan uygunluğundan</w:t>
            </w:r>
          </w:p>
        </w:tc>
        <w:tc>
          <w:tcPr>
            <w:tcW w:w="831" w:type="dxa"/>
            <w:tcBorders>
              <w:top w:val="single" w:sz="4" w:space="0" w:color="auto"/>
              <w:left w:val="single" w:sz="4" w:space="0" w:color="auto"/>
              <w:bottom w:val="single" w:sz="4" w:space="0" w:color="auto"/>
              <w:right w:val="single" w:sz="4" w:space="0" w:color="auto"/>
            </w:tcBorders>
            <w:shd w:val="clear" w:color="000000" w:fill="CCE9D6"/>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23%</w:t>
            </w:r>
          </w:p>
        </w:tc>
        <w:tc>
          <w:tcPr>
            <w:tcW w:w="687" w:type="dxa"/>
            <w:tcBorders>
              <w:top w:val="single" w:sz="4" w:space="0" w:color="auto"/>
              <w:left w:val="single" w:sz="4" w:space="0" w:color="auto"/>
              <w:bottom w:val="single" w:sz="4" w:space="0" w:color="auto"/>
              <w:right w:val="single" w:sz="4" w:space="0" w:color="auto"/>
            </w:tcBorders>
            <w:shd w:val="clear" w:color="000000" w:fill="8BCF9E"/>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54%</w:t>
            </w:r>
          </w:p>
        </w:tc>
        <w:tc>
          <w:tcPr>
            <w:tcW w:w="973" w:type="dxa"/>
            <w:tcBorders>
              <w:top w:val="single" w:sz="4" w:space="0" w:color="auto"/>
              <w:left w:val="single" w:sz="4" w:space="0" w:color="auto"/>
              <w:bottom w:val="single" w:sz="4" w:space="0" w:color="auto"/>
              <w:right w:val="single" w:sz="4" w:space="0" w:color="auto"/>
            </w:tcBorders>
            <w:shd w:val="clear" w:color="000000" w:fill="CCE9D6"/>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23%</w:t>
            </w:r>
          </w:p>
        </w:tc>
        <w:tc>
          <w:tcPr>
            <w:tcW w:w="646" w:type="dxa"/>
            <w:tcBorders>
              <w:top w:val="single" w:sz="4" w:space="0" w:color="auto"/>
              <w:left w:val="single" w:sz="4" w:space="0" w:color="auto"/>
              <w:bottom w:val="single" w:sz="4" w:space="0" w:color="auto"/>
              <w:right w:val="single" w:sz="4" w:space="0" w:color="auto"/>
            </w:tcBorders>
            <w:shd w:val="clear" w:color="000000" w:fill="ECF6F2"/>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8%</w:t>
            </w:r>
          </w:p>
        </w:tc>
        <w:tc>
          <w:tcPr>
            <w:tcW w:w="701" w:type="dxa"/>
            <w:tcBorders>
              <w:top w:val="single" w:sz="4" w:space="0" w:color="auto"/>
              <w:left w:val="single" w:sz="4" w:space="0" w:color="auto"/>
              <w:bottom w:val="single" w:sz="4" w:space="0" w:color="auto"/>
              <w:right w:val="single" w:sz="4" w:space="0" w:color="auto"/>
            </w:tcBorders>
            <w:shd w:val="clear" w:color="000000" w:fill="E4F2EA"/>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12%</w:t>
            </w:r>
          </w:p>
        </w:tc>
      </w:tr>
      <w:tr w:rsidR="00E500EA" w:rsidRPr="00120B00" w:rsidTr="00E500EA">
        <w:trPr>
          <w:trHeight w:val="261"/>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rsidR="00120B00" w:rsidRPr="00120B00" w:rsidRDefault="00120B00" w:rsidP="00120B00">
            <w:pPr>
              <w:spacing w:after="0" w:line="240" w:lineRule="auto"/>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33</w:t>
            </w:r>
          </w:p>
        </w:tc>
        <w:tc>
          <w:tcPr>
            <w:tcW w:w="6650" w:type="dxa"/>
            <w:tcBorders>
              <w:top w:val="nil"/>
              <w:left w:val="nil"/>
              <w:bottom w:val="single" w:sz="4" w:space="0" w:color="auto"/>
              <w:right w:val="single" w:sz="4" w:space="0" w:color="auto"/>
            </w:tcBorders>
            <w:shd w:val="clear" w:color="auto" w:fill="auto"/>
            <w:noWrap/>
            <w:hideMark/>
          </w:tcPr>
          <w:p w:rsidR="00120B00" w:rsidRPr="00120B00" w:rsidRDefault="00120B00" w:rsidP="00120B00">
            <w:pPr>
              <w:spacing w:after="0" w:line="240" w:lineRule="auto"/>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Kalite Komisyonu çalışmalarından</w:t>
            </w:r>
          </w:p>
        </w:tc>
        <w:tc>
          <w:tcPr>
            <w:tcW w:w="831" w:type="dxa"/>
            <w:tcBorders>
              <w:top w:val="single" w:sz="4" w:space="0" w:color="auto"/>
              <w:left w:val="single" w:sz="4" w:space="0" w:color="auto"/>
              <w:bottom w:val="single" w:sz="4" w:space="0" w:color="auto"/>
              <w:right w:val="single" w:sz="4" w:space="0" w:color="auto"/>
            </w:tcBorders>
            <w:shd w:val="clear" w:color="000000" w:fill="B6E0C3"/>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33%</w:t>
            </w:r>
          </w:p>
        </w:tc>
        <w:tc>
          <w:tcPr>
            <w:tcW w:w="687" w:type="dxa"/>
            <w:tcBorders>
              <w:top w:val="single" w:sz="4" w:space="0" w:color="auto"/>
              <w:left w:val="single" w:sz="4" w:space="0" w:color="auto"/>
              <w:bottom w:val="single" w:sz="4" w:space="0" w:color="auto"/>
              <w:right w:val="single" w:sz="4" w:space="0" w:color="auto"/>
            </w:tcBorders>
            <w:shd w:val="clear" w:color="000000" w:fill="70C486"/>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67%</w:t>
            </w:r>
          </w:p>
        </w:tc>
        <w:tc>
          <w:tcPr>
            <w:tcW w:w="973" w:type="dxa"/>
            <w:tcBorders>
              <w:top w:val="single" w:sz="4" w:space="0" w:color="auto"/>
              <w:left w:val="single" w:sz="4" w:space="0" w:color="auto"/>
              <w:bottom w:val="single" w:sz="4" w:space="0" w:color="auto"/>
              <w:right w:val="single" w:sz="4" w:space="0" w:color="auto"/>
            </w:tcBorders>
            <w:shd w:val="clear" w:color="000000" w:fill="D9EEE1"/>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17%</w:t>
            </w:r>
          </w:p>
        </w:tc>
        <w:tc>
          <w:tcPr>
            <w:tcW w:w="646" w:type="dxa"/>
            <w:tcBorders>
              <w:top w:val="single" w:sz="4" w:space="0" w:color="auto"/>
              <w:left w:val="single" w:sz="4" w:space="0" w:color="auto"/>
              <w:bottom w:val="single" w:sz="4" w:space="0" w:color="auto"/>
              <w:right w:val="single" w:sz="4" w:space="0" w:color="auto"/>
            </w:tcBorders>
            <w:shd w:val="clear" w:color="000000" w:fill="FCFCFF"/>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0%</w:t>
            </w:r>
          </w:p>
        </w:tc>
        <w:tc>
          <w:tcPr>
            <w:tcW w:w="701" w:type="dxa"/>
            <w:tcBorders>
              <w:top w:val="single" w:sz="4" w:space="0" w:color="auto"/>
              <w:left w:val="single" w:sz="4" w:space="0" w:color="auto"/>
              <w:bottom w:val="single" w:sz="4" w:space="0" w:color="auto"/>
              <w:right w:val="single" w:sz="4" w:space="0" w:color="auto"/>
            </w:tcBorders>
            <w:shd w:val="clear" w:color="000000" w:fill="E4F2EA"/>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12%</w:t>
            </w:r>
          </w:p>
        </w:tc>
      </w:tr>
      <w:tr w:rsidR="00E500EA" w:rsidRPr="00120B00" w:rsidTr="00E500EA">
        <w:trPr>
          <w:trHeight w:val="261"/>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rsidR="00120B00" w:rsidRPr="00120B00" w:rsidRDefault="00120B00" w:rsidP="00120B00">
            <w:pPr>
              <w:spacing w:after="0" w:line="240" w:lineRule="auto"/>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34</w:t>
            </w:r>
          </w:p>
        </w:tc>
        <w:tc>
          <w:tcPr>
            <w:tcW w:w="6650" w:type="dxa"/>
            <w:tcBorders>
              <w:top w:val="nil"/>
              <w:left w:val="nil"/>
              <w:bottom w:val="single" w:sz="4" w:space="0" w:color="auto"/>
              <w:right w:val="single" w:sz="4" w:space="0" w:color="auto"/>
            </w:tcBorders>
            <w:shd w:val="clear" w:color="auto" w:fill="auto"/>
            <w:noWrap/>
            <w:hideMark/>
          </w:tcPr>
          <w:p w:rsidR="00120B00" w:rsidRPr="00120B00" w:rsidRDefault="00120B00" w:rsidP="00120B00">
            <w:pPr>
              <w:spacing w:after="0" w:line="240" w:lineRule="auto"/>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Kalite Geliştirme Koordinatörlüğü çalışmalarından</w:t>
            </w:r>
          </w:p>
        </w:tc>
        <w:tc>
          <w:tcPr>
            <w:tcW w:w="831" w:type="dxa"/>
            <w:tcBorders>
              <w:top w:val="single" w:sz="4" w:space="0" w:color="auto"/>
              <w:left w:val="single" w:sz="4" w:space="0" w:color="auto"/>
              <w:bottom w:val="single" w:sz="4" w:space="0" w:color="auto"/>
              <w:right w:val="single" w:sz="4" w:space="0" w:color="auto"/>
            </w:tcBorders>
            <w:shd w:val="clear" w:color="000000" w:fill="9DD6AD"/>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45%</w:t>
            </w:r>
          </w:p>
        </w:tc>
        <w:tc>
          <w:tcPr>
            <w:tcW w:w="687"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73%</w:t>
            </w:r>
          </w:p>
        </w:tc>
        <w:tc>
          <w:tcPr>
            <w:tcW w:w="973" w:type="dxa"/>
            <w:tcBorders>
              <w:top w:val="single" w:sz="4" w:space="0" w:color="auto"/>
              <w:left w:val="single" w:sz="4" w:space="0" w:color="auto"/>
              <w:bottom w:val="single" w:sz="4" w:space="0" w:color="auto"/>
              <w:right w:val="single" w:sz="4" w:space="0" w:color="auto"/>
            </w:tcBorders>
            <w:shd w:val="clear" w:color="000000" w:fill="E9F5EF"/>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9%</w:t>
            </w:r>
          </w:p>
        </w:tc>
        <w:tc>
          <w:tcPr>
            <w:tcW w:w="646" w:type="dxa"/>
            <w:tcBorders>
              <w:top w:val="single" w:sz="4" w:space="0" w:color="auto"/>
              <w:left w:val="single" w:sz="4" w:space="0" w:color="auto"/>
              <w:bottom w:val="single" w:sz="4" w:space="0" w:color="auto"/>
              <w:right w:val="single" w:sz="4" w:space="0" w:color="auto"/>
            </w:tcBorders>
            <w:shd w:val="clear" w:color="000000" w:fill="FCFCFF"/>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0%</w:t>
            </w:r>
          </w:p>
        </w:tc>
        <w:tc>
          <w:tcPr>
            <w:tcW w:w="701" w:type="dxa"/>
            <w:tcBorders>
              <w:top w:val="single" w:sz="4" w:space="0" w:color="auto"/>
              <w:left w:val="single" w:sz="4" w:space="0" w:color="auto"/>
              <w:bottom w:val="single" w:sz="4" w:space="0" w:color="auto"/>
              <w:right w:val="single" w:sz="4" w:space="0" w:color="auto"/>
            </w:tcBorders>
            <w:shd w:val="clear" w:color="000000" w:fill="E4F2EA"/>
            <w:noWrap/>
            <w:vAlign w:val="center"/>
            <w:hideMark/>
          </w:tcPr>
          <w:p w:rsidR="00120B00" w:rsidRPr="00120B00" w:rsidRDefault="00120B00" w:rsidP="00120B00">
            <w:pPr>
              <w:spacing w:after="0" w:line="240" w:lineRule="auto"/>
              <w:jc w:val="center"/>
              <w:rPr>
                <w:rFonts w:ascii="Times New Roman" w:eastAsia="Times New Roman" w:hAnsi="Times New Roman" w:cs="Times New Roman"/>
                <w:color w:val="000000"/>
                <w:sz w:val="20"/>
                <w:szCs w:val="20"/>
                <w:lang w:eastAsia="tr-TR"/>
              </w:rPr>
            </w:pPr>
            <w:r w:rsidRPr="00120B00">
              <w:rPr>
                <w:rFonts w:ascii="Times New Roman" w:eastAsia="Times New Roman" w:hAnsi="Times New Roman" w:cs="Times New Roman"/>
                <w:color w:val="000000"/>
                <w:sz w:val="20"/>
                <w:szCs w:val="20"/>
                <w:lang w:eastAsia="tr-TR"/>
              </w:rPr>
              <w:t>12%</w:t>
            </w:r>
          </w:p>
        </w:tc>
      </w:tr>
    </w:tbl>
    <w:p w:rsidR="00820974" w:rsidRDefault="00820974" w:rsidP="00820974"/>
    <w:p w:rsidR="00CA000E" w:rsidRPr="00663610" w:rsidRDefault="00406C2F" w:rsidP="00406C2F">
      <w:pPr>
        <w:ind w:firstLine="708"/>
        <w:jc w:val="both"/>
        <w:rPr>
          <w:rFonts w:ascii="Times New Roman" w:hAnsi="Times New Roman" w:cs="Times New Roman"/>
        </w:rPr>
      </w:pPr>
      <w:r>
        <w:rPr>
          <w:rFonts w:ascii="Times New Roman" w:hAnsi="Times New Roman" w:cs="Times New Roman"/>
        </w:rPr>
        <w:t>Çizelge 1</w:t>
      </w:r>
      <w:r w:rsidR="00CA000E" w:rsidRPr="00CA000E">
        <w:rPr>
          <w:rFonts w:ascii="Times New Roman" w:hAnsi="Times New Roman" w:cs="Times New Roman"/>
        </w:rPr>
        <w:t>’de</w:t>
      </w:r>
      <w:r>
        <w:rPr>
          <w:rFonts w:ascii="Times New Roman" w:hAnsi="Times New Roman" w:cs="Times New Roman"/>
        </w:rPr>
        <w:t>,</w:t>
      </w:r>
      <w:r w:rsidR="00CA000E" w:rsidRPr="00CA000E">
        <w:rPr>
          <w:rFonts w:ascii="Times New Roman" w:hAnsi="Times New Roman" w:cs="Times New Roman"/>
        </w:rPr>
        <w:t xml:space="preserve"> Akademik Personel Memnuniyet Anketine verilen cevapların yüzdelik dağılımları gösterilmiştir. Tabloya uygulanan renklendirme ile yüzdelik olarak yüksek cevaplar daha </w:t>
      </w:r>
      <w:r w:rsidR="00CA000E" w:rsidRPr="00663610">
        <w:rPr>
          <w:rFonts w:ascii="Times New Roman" w:hAnsi="Times New Roman" w:cs="Times New Roman"/>
        </w:rPr>
        <w:t>koyu renklerde, yüzdelik olarak daha düşük renkler ise açık renklerde işaretlenmiştir.</w:t>
      </w:r>
    </w:p>
    <w:p w:rsidR="00E376CB" w:rsidRPr="00E376CB" w:rsidRDefault="00D01DE2" w:rsidP="00E376CB">
      <w:pPr>
        <w:jc w:val="both"/>
        <w:rPr>
          <w:rFonts w:ascii="Times New Roman" w:eastAsia="Times New Roman" w:hAnsi="Times New Roman" w:cs="Times New Roman"/>
          <w:color w:val="000000"/>
          <w:lang w:eastAsia="tr-TR"/>
        </w:rPr>
      </w:pPr>
      <w:r w:rsidRPr="00E376CB">
        <w:rPr>
          <w:rFonts w:ascii="Times New Roman" w:hAnsi="Times New Roman" w:cs="Times New Roman"/>
        </w:rPr>
        <w:t xml:space="preserve">Şekil 1’de Akademik </w:t>
      </w:r>
      <w:r w:rsidR="00406C2F" w:rsidRPr="00E376CB">
        <w:rPr>
          <w:rFonts w:ascii="Times New Roman" w:hAnsi="Times New Roman" w:cs="Times New Roman"/>
        </w:rPr>
        <w:t xml:space="preserve">Personel Memnuniyet Anketinin </w:t>
      </w:r>
      <w:r w:rsidRPr="00E376CB">
        <w:rPr>
          <w:rFonts w:ascii="Times New Roman" w:hAnsi="Times New Roman" w:cs="Times New Roman"/>
        </w:rPr>
        <w:t xml:space="preserve">soru bazlı memnuniyet yüzdeleri gösterilmiştir. </w:t>
      </w:r>
      <w:r w:rsidR="00BC5B08" w:rsidRPr="00E376CB">
        <w:rPr>
          <w:rFonts w:ascii="Times New Roman" w:hAnsi="Times New Roman" w:cs="Times New Roman"/>
        </w:rPr>
        <w:t>Akademik personelin memnuniye</w:t>
      </w:r>
      <w:r w:rsidR="009402DF" w:rsidRPr="00E376CB">
        <w:rPr>
          <w:rFonts w:ascii="Times New Roman" w:hAnsi="Times New Roman" w:cs="Times New Roman"/>
        </w:rPr>
        <w:t>t oranının en yüksek olduğu soru</w:t>
      </w:r>
      <w:r w:rsidR="00BC5B08" w:rsidRPr="00E376CB">
        <w:rPr>
          <w:rFonts w:ascii="Times New Roman" w:hAnsi="Times New Roman" w:cs="Times New Roman"/>
        </w:rPr>
        <w:t>lar;</w:t>
      </w:r>
      <w:r w:rsidR="009402DF" w:rsidRPr="00E376CB">
        <w:rPr>
          <w:rFonts w:ascii="Times New Roman" w:hAnsi="Times New Roman" w:cs="Times New Roman"/>
        </w:rPr>
        <w:t xml:space="preserve"> </w:t>
      </w:r>
      <w:r w:rsidR="005E3BBA">
        <w:rPr>
          <w:rFonts w:ascii="Times New Roman" w:hAnsi="Times New Roman" w:cs="Times New Roman"/>
        </w:rPr>
        <w:t xml:space="preserve">Kalite Komisyonu çalışmaları ve </w:t>
      </w:r>
      <w:r w:rsidR="00E376CB" w:rsidRPr="00E376CB">
        <w:rPr>
          <w:rFonts w:ascii="Times New Roman" w:eastAsia="Times New Roman" w:hAnsi="Times New Roman" w:cs="Times New Roman"/>
          <w:color w:val="000000"/>
          <w:lang w:eastAsia="tr-TR"/>
        </w:rPr>
        <w:t xml:space="preserve">öğretim </w:t>
      </w:r>
      <w:r w:rsidR="005E3BBA">
        <w:rPr>
          <w:rFonts w:ascii="Times New Roman" w:eastAsia="Times New Roman" w:hAnsi="Times New Roman" w:cs="Times New Roman"/>
          <w:color w:val="000000"/>
          <w:lang w:eastAsia="tr-TR"/>
        </w:rPr>
        <w:t>elemanlarının ders yükü dengesi olmuştur.</w:t>
      </w:r>
    </w:p>
    <w:p w:rsidR="00E227B5" w:rsidRDefault="00134C6D" w:rsidP="005E3BBA">
      <w:pPr>
        <w:jc w:val="both"/>
        <w:rPr>
          <w:rFonts w:ascii="Times New Roman" w:hAnsi="Times New Roman" w:cs="Times New Roman"/>
        </w:rPr>
      </w:pPr>
      <w:r w:rsidRPr="00134C6D">
        <w:rPr>
          <w:rFonts w:ascii="Times New Roman" w:hAnsi="Times New Roman" w:cs="Times New Roman"/>
        </w:rPr>
        <w:t>M</w:t>
      </w:r>
      <w:r>
        <w:rPr>
          <w:rFonts w:ascii="Times New Roman" w:hAnsi="Times New Roman" w:cs="Times New Roman"/>
        </w:rPr>
        <w:t xml:space="preserve">emnuniyet seviyesinin en düşük olduğu konular ise; </w:t>
      </w:r>
      <w:r w:rsidR="00E376CB">
        <w:rPr>
          <w:rFonts w:ascii="Times New Roman" w:hAnsi="Times New Roman" w:cs="Times New Roman"/>
        </w:rPr>
        <w:t>ü</w:t>
      </w:r>
      <w:r w:rsidR="00E376CB" w:rsidRPr="00E376CB">
        <w:rPr>
          <w:rFonts w:ascii="Times New Roman" w:hAnsi="Times New Roman" w:cs="Times New Roman"/>
        </w:rPr>
        <w:t>niversitenin akademik yükseltme ölçütleri</w:t>
      </w:r>
      <w:r w:rsidR="00E376CB">
        <w:rPr>
          <w:rFonts w:ascii="Times New Roman" w:hAnsi="Times New Roman" w:cs="Times New Roman"/>
        </w:rPr>
        <w:t>,</w:t>
      </w:r>
      <w:r w:rsidR="00E376CB" w:rsidRPr="00E376CB">
        <w:t xml:space="preserve"> </w:t>
      </w:r>
      <w:r w:rsidR="005E3BBA" w:rsidRPr="005E3BBA">
        <w:rPr>
          <w:rFonts w:ascii="Times New Roman" w:hAnsi="Times New Roman" w:cs="Times New Roman"/>
        </w:rPr>
        <w:t>Sağlık, Kültür ve Spor (SKS) biriminin sağladığı hizmetlerden</w:t>
      </w:r>
      <w:r w:rsidR="00E376CB">
        <w:rPr>
          <w:rFonts w:ascii="Times New Roman" w:hAnsi="Times New Roman" w:cs="Times New Roman"/>
        </w:rPr>
        <w:t>,</w:t>
      </w:r>
      <w:r w:rsidR="00E376CB" w:rsidRPr="00E376CB">
        <w:t xml:space="preserve"> </w:t>
      </w:r>
      <w:r w:rsidR="005E3BBA" w:rsidRPr="005E3BBA">
        <w:rPr>
          <w:rFonts w:ascii="Times New Roman" w:hAnsi="Times New Roman" w:cs="Times New Roman"/>
        </w:rPr>
        <w:t>Güvenlik hizmetlerinden</w:t>
      </w:r>
      <w:r w:rsidR="005E3BBA">
        <w:rPr>
          <w:rFonts w:ascii="Times New Roman" w:hAnsi="Times New Roman" w:cs="Times New Roman"/>
        </w:rPr>
        <w:t xml:space="preserve"> ve</w:t>
      </w:r>
      <w:r w:rsidR="005E3BBA" w:rsidRPr="005E3BBA">
        <w:rPr>
          <w:rFonts w:ascii="Times New Roman" w:hAnsi="Times New Roman" w:cs="Times New Roman"/>
        </w:rPr>
        <w:t xml:space="preserve"> Kalite Geliştirme Koordinatörlüğü çalışmaları</w:t>
      </w:r>
      <w:r w:rsidR="005E3BBA">
        <w:rPr>
          <w:rFonts w:ascii="Times New Roman" w:hAnsi="Times New Roman" w:cs="Times New Roman"/>
        </w:rPr>
        <w:t>dır.</w:t>
      </w:r>
      <w:r w:rsidR="005E3BBA" w:rsidRPr="005E3BBA">
        <w:rPr>
          <w:rFonts w:ascii="Times New Roman" w:hAnsi="Times New Roman" w:cs="Times New Roman"/>
        </w:rPr>
        <w:t xml:space="preserve"> </w:t>
      </w:r>
      <w:r w:rsidR="00D01DE2" w:rsidRPr="00731B09">
        <w:rPr>
          <w:rFonts w:ascii="Times New Roman" w:hAnsi="Times New Roman" w:cs="Times New Roman"/>
        </w:rPr>
        <w:t xml:space="preserve">Uygulanan akademik personel memnuniyet anketinin </w:t>
      </w:r>
      <w:r w:rsidR="00663610" w:rsidRPr="00731B09">
        <w:rPr>
          <w:rFonts w:ascii="Times New Roman" w:hAnsi="Times New Roman" w:cs="Times New Roman"/>
        </w:rPr>
        <w:t>genel memnuniyet oranı ise %</w:t>
      </w:r>
      <w:r w:rsidR="00793765">
        <w:rPr>
          <w:rFonts w:ascii="Times New Roman" w:hAnsi="Times New Roman" w:cs="Times New Roman"/>
        </w:rPr>
        <w:t xml:space="preserve"> </w:t>
      </w:r>
      <w:r w:rsidR="00E92EAC">
        <w:rPr>
          <w:rFonts w:ascii="Times New Roman" w:hAnsi="Times New Roman" w:cs="Times New Roman"/>
        </w:rPr>
        <w:t>65</w:t>
      </w:r>
      <w:r w:rsidR="002D13D6" w:rsidRPr="00731B09">
        <w:rPr>
          <w:rFonts w:ascii="Times New Roman" w:hAnsi="Times New Roman" w:cs="Times New Roman"/>
        </w:rPr>
        <w:t xml:space="preserve"> olarak hesaplanmıştır</w:t>
      </w:r>
      <w:r w:rsidR="00B502B0" w:rsidRPr="00731B09">
        <w:rPr>
          <w:rFonts w:ascii="Times New Roman" w:hAnsi="Times New Roman" w:cs="Times New Roman"/>
        </w:rPr>
        <w:t>.</w:t>
      </w:r>
      <w:r w:rsidR="00D01DE2" w:rsidRPr="00731B09">
        <w:rPr>
          <w:rFonts w:ascii="Times New Roman" w:hAnsi="Times New Roman" w:cs="Times New Roman"/>
        </w:rPr>
        <w:t xml:space="preserve"> </w:t>
      </w:r>
    </w:p>
    <w:p w:rsidR="00120B00" w:rsidRDefault="00120B00" w:rsidP="005E3BBA">
      <w:pPr>
        <w:jc w:val="both"/>
        <w:rPr>
          <w:rFonts w:ascii="Times New Roman" w:hAnsi="Times New Roman" w:cs="Times New Roman"/>
        </w:rPr>
      </w:pPr>
    </w:p>
    <w:p w:rsidR="00AD53A3" w:rsidRPr="007106AA" w:rsidRDefault="007106AA" w:rsidP="00CA000E">
      <w:pPr>
        <w:jc w:val="both"/>
        <w:rPr>
          <w:rFonts w:ascii="Times New Roman" w:hAnsi="Times New Roman" w:cs="Times New Roman"/>
        </w:rPr>
      </w:pPr>
      <w:r>
        <w:rPr>
          <w:noProof/>
          <w:lang w:eastAsia="tr-TR"/>
        </w:rPr>
        <w:drawing>
          <wp:inline distT="0" distB="0" distL="0" distR="0" wp14:anchorId="345B25CB" wp14:editId="0499CD12">
            <wp:extent cx="6042660" cy="3124200"/>
            <wp:effectExtent l="0" t="0" r="0" b="0"/>
            <wp:docPr id="1" name="Grafik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502B0" w:rsidRDefault="00B502B0" w:rsidP="00134C6D">
      <w:pPr>
        <w:rPr>
          <w:rFonts w:ascii="Times New Roman" w:hAnsi="Times New Roman" w:cs="Times New Roman"/>
        </w:rPr>
      </w:pPr>
      <w:r w:rsidRPr="00B502B0">
        <w:rPr>
          <w:rFonts w:ascii="Times New Roman" w:hAnsi="Times New Roman" w:cs="Times New Roman"/>
          <w:b/>
        </w:rPr>
        <w:t>Şekil 1:</w:t>
      </w:r>
      <w:r w:rsidRPr="00B502B0">
        <w:rPr>
          <w:rFonts w:ascii="Times New Roman" w:hAnsi="Times New Roman" w:cs="Times New Roman"/>
        </w:rPr>
        <w:t xml:space="preserve"> Akademik personel genel memnuniyet oranı grafiği.</w:t>
      </w:r>
    </w:p>
    <w:sectPr w:rsidR="00B502B0" w:rsidSect="00CE5987">
      <w:pgSz w:w="11906" w:h="16838"/>
      <w:pgMar w:top="1417" w:right="1133"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974"/>
    <w:rsid w:val="00085DBD"/>
    <w:rsid w:val="000973F4"/>
    <w:rsid w:val="00120B00"/>
    <w:rsid w:val="00134C6D"/>
    <w:rsid w:val="001A7180"/>
    <w:rsid w:val="002879EB"/>
    <w:rsid w:val="002C5693"/>
    <w:rsid w:val="002D13D6"/>
    <w:rsid w:val="00406C2F"/>
    <w:rsid w:val="004403DE"/>
    <w:rsid w:val="004A0923"/>
    <w:rsid w:val="005677D6"/>
    <w:rsid w:val="005E3BBA"/>
    <w:rsid w:val="00663610"/>
    <w:rsid w:val="00690B29"/>
    <w:rsid w:val="007106AA"/>
    <w:rsid w:val="00731B09"/>
    <w:rsid w:val="00793765"/>
    <w:rsid w:val="007A4A2E"/>
    <w:rsid w:val="00820974"/>
    <w:rsid w:val="00827091"/>
    <w:rsid w:val="008550C3"/>
    <w:rsid w:val="00887C54"/>
    <w:rsid w:val="008C6ADF"/>
    <w:rsid w:val="009402DF"/>
    <w:rsid w:val="009437F7"/>
    <w:rsid w:val="009A617D"/>
    <w:rsid w:val="009D78D4"/>
    <w:rsid w:val="00AB25E4"/>
    <w:rsid w:val="00AD53A3"/>
    <w:rsid w:val="00B42F6C"/>
    <w:rsid w:val="00B502B0"/>
    <w:rsid w:val="00BC5B08"/>
    <w:rsid w:val="00CA000E"/>
    <w:rsid w:val="00CA692E"/>
    <w:rsid w:val="00CE5987"/>
    <w:rsid w:val="00D01DE2"/>
    <w:rsid w:val="00D32502"/>
    <w:rsid w:val="00D41AF3"/>
    <w:rsid w:val="00D83427"/>
    <w:rsid w:val="00E227B5"/>
    <w:rsid w:val="00E376CB"/>
    <w:rsid w:val="00E500EA"/>
    <w:rsid w:val="00E57439"/>
    <w:rsid w:val="00E92EAC"/>
    <w:rsid w:val="00E959CE"/>
    <w:rsid w:val="00EB69B5"/>
    <w:rsid w:val="00F52B15"/>
    <w:rsid w:val="00F7644E"/>
    <w:rsid w:val="00F83459"/>
    <w:rsid w:val="00FE7F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106A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106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106A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106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568863">
      <w:bodyDiv w:val="1"/>
      <w:marLeft w:val="0"/>
      <w:marRight w:val="0"/>
      <w:marTop w:val="0"/>
      <w:marBottom w:val="0"/>
      <w:divBdr>
        <w:top w:val="none" w:sz="0" w:space="0" w:color="auto"/>
        <w:left w:val="none" w:sz="0" w:space="0" w:color="auto"/>
        <w:bottom w:val="none" w:sz="0" w:space="0" w:color="auto"/>
        <w:right w:val="none" w:sz="0" w:space="0" w:color="auto"/>
      </w:divBdr>
    </w:div>
    <w:div w:id="645817007">
      <w:bodyDiv w:val="1"/>
      <w:marLeft w:val="0"/>
      <w:marRight w:val="0"/>
      <w:marTop w:val="0"/>
      <w:marBottom w:val="0"/>
      <w:divBdr>
        <w:top w:val="none" w:sz="0" w:space="0" w:color="auto"/>
        <w:left w:val="none" w:sz="0" w:space="0" w:color="auto"/>
        <w:bottom w:val="none" w:sz="0" w:space="0" w:color="auto"/>
        <w:right w:val="none" w:sz="0" w:space="0" w:color="auto"/>
      </w:divBdr>
    </w:div>
    <w:div w:id="751510433">
      <w:bodyDiv w:val="1"/>
      <w:marLeft w:val="0"/>
      <w:marRight w:val="0"/>
      <w:marTop w:val="0"/>
      <w:marBottom w:val="0"/>
      <w:divBdr>
        <w:top w:val="none" w:sz="0" w:space="0" w:color="auto"/>
        <w:left w:val="none" w:sz="0" w:space="0" w:color="auto"/>
        <w:bottom w:val="none" w:sz="0" w:space="0" w:color="auto"/>
        <w:right w:val="none" w:sz="0" w:space="0" w:color="auto"/>
      </w:divBdr>
    </w:div>
    <w:div w:id="1267273030">
      <w:bodyDiv w:val="1"/>
      <w:marLeft w:val="0"/>
      <w:marRight w:val="0"/>
      <w:marTop w:val="0"/>
      <w:marBottom w:val="0"/>
      <w:divBdr>
        <w:top w:val="none" w:sz="0" w:space="0" w:color="auto"/>
        <w:left w:val="none" w:sz="0" w:space="0" w:color="auto"/>
        <w:bottom w:val="none" w:sz="0" w:space="0" w:color="auto"/>
        <w:right w:val="none" w:sz="0" w:space="0" w:color="auto"/>
      </w:divBdr>
    </w:div>
    <w:div w:id="1476675651">
      <w:bodyDiv w:val="1"/>
      <w:marLeft w:val="0"/>
      <w:marRight w:val="0"/>
      <w:marTop w:val="0"/>
      <w:marBottom w:val="0"/>
      <w:divBdr>
        <w:top w:val="none" w:sz="0" w:space="0" w:color="auto"/>
        <w:left w:val="none" w:sz="0" w:space="0" w:color="auto"/>
        <w:bottom w:val="none" w:sz="0" w:space="0" w:color="auto"/>
        <w:right w:val="none" w:sz="0" w:space="0" w:color="auto"/>
      </w:divBdr>
    </w:div>
    <w:div w:id="1477797666">
      <w:bodyDiv w:val="1"/>
      <w:marLeft w:val="0"/>
      <w:marRight w:val="0"/>
      <w:marTop w:val="0"/>
      <w:marBottom w:val="0"/>
      <w:divBdr>
        <w:top w:val="none" w:sz="0" w:space="0" w:color="auto"/>
        <w:left w:val="none" w:sz="0" w:space="0" w:color="auto"/>
        <w:bottom w:val="none" w:sz="0" w:space="0" w:color="auto"/>
        <w:right w:val="none" w:sz="0" w:space="0" w:color="auto"/>
      </w:divBdr>
    </w:div>
    <w:div w:id="1665818194">
      <w:bodyDiv w:val="1"/>
      <w:marLeft w:val="0"/>
      <w:marRight w:val="0"/>
      <w:marTop w:val="0"/>
      <w:marBottom w:val="0"/>
      <w:divBdr>
        <w:top w:val="none" w:sz="0" w:space="0" w:color="auto"/>
        <w:left w:val="none" w:sz="0" w:space="0" w:color="auto"/>
        <w:bottom w:val="none" w:sz="0" w:space="0" w:color="auto"/>
        <w:right w:val="none" w:sz="0" w:space="0" w:color="auto"/>
      </w:divBdr>
    </w:div>
    <w:div w:id="1931889146">
      <w:bodyDiv w:val="1"/>
      <w:marLeft w:val="0"/>
      <w:marRight w:val="0"/>
      <w:marTop w:val="0"/>
      <w:marBottom w:val="0"/>
      <w:divBdr>
        <w:top w:val="none" w:sz="0" w:space="0" w:color="auto"/>
        <w:left w:val="none" w:sz="0" w:space="0" w:color="auto"/>
        <w:bottom w:val="none" w:sz="0" w:space="0" w:color="auto"/>
        <w:right w:val="none" w:sz="0" w:space="0" w:color="auto"/>
      </w:divBdr>
    </w:div>
    <w:div w:id="1970620773">
      <w:bodyDiv w:val="1"/>
      <w:marLeft w:val="0"/>
      <w:marRight w:val="0"/>
      <w:marTop w:val="0"/>
      <w:marBottom w:val="0"/>
      <w:divBdr>
        <w:top w:val="none" w:sz="0" w:space="0" w:color="auto"/>
        <w:left w:val="none" w:sz="0" w:space="0" w:color="auto"/>
        <w:bottom w:val="none" w:sz="0" w:space="0" w:color="auto"/>
        <w:right w:val="none" w:sz="0" w:space="0" w:color="auto"/>
      </w:divBdr>
    </w:div>
    <w:div w:id="202624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c\Downloads\2023%20haziran-TARIM%20MYO%20AKADEMI&#775;K%20PERSONEL%20(1)%20kopyas&#30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tr-TR"/>
              <a:t>Akademik</a:t>
            </a:r>
            <a:r>
              <a:rPr lang="tr-TR" baseline="0"/>
              <a:t> Personel</a:t>
            </a:r>
          </a:p>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 Memnuniyet Oranı</a:t>
            </a:r>
          </a:p>
        </c:rich>
      </c:tx>
      <c:overlay val="0"/>
      <c:spPr>
        <a:noFill/>
        <a:ln>
          <a:noFill/>
        </a:ln>
        <a:effectLst/>
      </c:spPr>
    </c:title>
    <c:autoTitleDeleted val="0"/>
    <c:plotArea>
      <c:layout/>
      <c:barChart>
        <c:barDir val="col"/>
        <c:grouping val="clustered"/>
        <c:varyColors val="0"/>
        <c:ser>
          <c:idx val="0"/>
          <c:order val="0"/>
          <c:tx>
            <c:strRef>
              <c:f>'Page 1'!$AL$2</c:f>
              <c:strCache>
                <c:ptCount val="1"/>
                <c:pt idx="0">
                  <c:v>Soru Bazlı Memnuniyet Oranı</c:v>
                </c:pt>
              </c:strCache>
            </c:strRef>
          </c:tx>
          <c:spPr>
            <a:solidFill>
              <a:schemeClr val="bg1"/>
            </a:solidFill>
            <a:ln w="34925" cap="rnd">
              <a:noFill/>
              <a:round/>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'Page 1'!$AK$3:$AK$37</c:f>
              <c:strCache>
                <c:ptCount val="35"/>
                <c:pt idx="1">
                  <c:v>Soru 1</c:v>
                </c:pt>
                <c:pt idx="2">
                  <c:v>Soru 2</c:v>
                </c:pt>
                <c:pt idx="3">
                  <c:v>Soru 3</c:v>
                </c:pt>
                <c:pt idx="4">
                  <c:v>Soru 4</c:v>
                </c:pt>
                <c:pt idx="5">
                  <c:v>Soru 5</c:v>
                </c:pt>
                <c:pt idx="6">
                  <c:v>Soru 6</c:v>
                </c:pt>
                <c:pt idx="7">
                  <c:v>Soru 7</c:v>
                </c:pt>
                <c:pt idx="8">
                  <c:v>Soru 8</c:v>
                </c:pt>
                <c:pt idx="9">
                  <c:v>Soru 9</c:v>
                </c:pt>
                <c:pt idx="10">
                  <c:v>Soru 10</c:v>
                </c:pt>
                <c:pt idx="11">
                  <c:v>Soru 11</c:v>
                </c:pt>
                <c:pt idx="12">
                  <c:v>Soru 12</c:v>
                </c:pt>
                <c:pt idx="13">
                  <c:v>Soru 13</c:v>
                </c:pt>
                <c:pt idx="14">
                  <c:v>Soru 14</c:v>
                </c:pt>
                <c:pt idx="15">
                  <c:v>Soru 15</c:v>
                </c:pt>
                <c:pt idx="16">
                  <c:v>Soru 16</c:v>
                </c:pt>
                <c:pt idx="17">
                  <c:v>Soru 17</c:v>
                </c:pt>
                <c:pt idx="18">
                  <c:v>Soru 18</c:v>
                </c:pt>
                <c:pt idx="19">
                  <c:v>Soru 19</c:v>
                </c:pt>
                <c:pt idx="20">
                  <c:v>Soru 20</c:v>
                </c:pt>
                <c:pt idx="21">
                  <c:v>Soru 21</c:v>
                </c:pt>
                <c:pt idx="22">
                  <c:v>Soru 22</c:v>
                </c:pt>
                <c:pt idx="23">
                  <c:v>Soru 23</c:v>
                </c:pt>
                <c:pt idx="24">
                  <c:v>Soru 24</c:v>
                </c:pt>
                <c:pt idx="25">
                  <c:v>Soru 25</c:v>
                </c:pt>
                <c:pt idx="26">
                  <c:v>Soru 26</c:v>
                </c:pt>
                <c:pt idx="27">
                  <c:v>Soru 27</c:v>
                </c:pt>
                <c:pt idx="28">
                  <c:v>Soru 28</c:v>
                </c:pt>
                <c:pt idx="29">
                  <c:v>Soru 29</c:v>
                </c:pt>
                <c:pt idx="30">
                  <c:v>Soru 30</c:v>
                </c:pt>
                <c:pt idx="31">
                  <c:v>Soru 31</c:v>
                </c:pt>
                <c:pt idx="32">
                  <c:v>Soru 32</c:v>
                </c:pt>
                <c:pt idx="33">
                  <c:v>Soru 33</c:v>
                </c:pt>
                <c:pt idx="34">
                  <c:v>Soru 34</c:v>
                </c:pt>
              </c:strCache>
            </c:strRef>
          </c:cat>
          <c:val>
            <c:numRef>
              <c:f>'Page 1'!$AL$3:$AL$37</c:f>
              <c:numCache>
                <c:formatCode>0%</c:formatCode>
                <c:ptCount val="35"/>
                <c:pt idx="1">
                  <c:v>0.49411764705882355</c:v>
                </c:pt>
                <c:pt idx="2">
                  <c:v>0.71111111111111114</c:v>
                </c:pt>
                <c:pt idx="3">
                  <c:v>0.66666666666666663</c:v>
                </c:pt>
                <c:pt idx="4">
                  <c:v>0.65555555555555556</c:v>
                </c:pt>
                <c:pt idx="5">
                  <c:v>0.6470588235294118</c:v>
                </c:pt>
                <c:pt idx="6">
                  <c:v>0.74444444444444446</c:v>
                </c:pt>
                <c:pt idx="7">
                  <c:v>0.64444444444444449</c:v>
                </c:pt>
                <c:pt idx="8">
                  <c:v>0.55555555555555558</c:v>
                </c:pt>
                <c:pt idx="9">
                  <c:v>0.58823529411764708</c:v>
                </c:pt>
                <c:pt idx="10">
                  <c:v>0.57777777777777772</c:v>
                </c:pt>
                <c:pt idx="11">
                  <c:v>0.75555555555555554</c:v>
                </c:pt>
                <c:pt idx="12">
                  <c:v>0.53333333333333333</c:v>
                </c:pt>
                <c:pt idx="13">
                  <c:v>0.52222222222222225</c:v>
                </c:pt>
                <c:pt idx="14">
                  <c:v>0.74444444444444446</c:v>
                </c:pt>
                <c:pt idx="15">
                  <c:v>0.7</c:v>
                </c:pt>
                <c:pt idx="16">
                  <c:v>0.73333333333333328</c:v>
                </c:pt>
                <c:pt idx="17">
                  <c:v>0.72222222222222221</c:v>
                </c:pt>
                <c:pt idx="18">
                  <c:v>0.6705882352941176</c:v>
                </c:pt>
                <c:pt idx="19">
                  <c:v>0.64444444444444449</c:v>
                </c:pt>
                <c:pt idx="20">
                  <c:v>0.64444444444444449</c:v>
                </c:pt>
                <c:pt idx="21">
                  <c:v>0.61111111111111116</c:v>
                </c:pt>
                <c:pt idx="22">
                  <c:v>0.6</c:v>
                </c:pt>
                <c:pt idx="23">
                  <c:v>0.66666666666666663</c:v>
                </c:pt>
                <c:pt idx="24">
                  <c:v>0.6</c:v>
                </c:pt>
                <c:pt idx="25">
                  <c:v>0.8</c:v>
                </c:pt>
                <c:pt idx="26">
                  <c:v>0.6588235294117647</c:v>
                </c:pt>
                <c:pt idx="27">
                  <c:v>0.52222222222222225</c:v>
                </c:pt>
                <c:pt idx="28">
                  <c:v>0.6</c:v>
                </c:pt>
                <c:pt idx="29">
                  <c:v>0.61111111111111116</c:v>
                </c:pt>
                <c:pt idx="30">
                  <c:v>0.6</c:v>
                </c:pt>
                <c:pt idx="31">
                  <c:v>0.71250000000000002</c:v>
                </c:pt>
                <c:pt idx="32">
                  <c:v>0.7</c:v>
                </c:pt>
                <c:pt idx="33">
                  <c:v>0.75</c:v>
                </c:pt>
                <c:pt idx="34">
                  <c:v>0.77500000000000002</c:v>
                </c:pt>
              </c:numCache>
            </c:numRef>
          </c:val>
          <c:extLst xmlns:c16r2="http://schemas.microsoft.com/office/drawing/2015/06/chart">
            <c:ext xmlns:c16="http://schemas.microsoft.com/office/drawing/2014/chart" uri="{C3380CC4-5D6E-409C-BE32-E72D297353CC}">
              <c16:uniqueId val="{00000000-0EDD-46DE-964B-45E7E439F2FF}"/>
            </c:ext>
          </c:extLst>
        </c:ser>
        <c:dLbls>
          <c:showLegendKey val="0"/>
          <c:showVal val="1"/>
          <c:showCatName val="0"/>
          <c:showSerName val="0"/>
          <c:showPercent val="0"/>
          <c:showBubbleSize val="0"/>
        </c:dLbls>
        <c:gapWidth val="150"/>
        <c:axId val="164726272"/>
        <c:axId val="164727808"/>
      </c:barChart>
      <c:catAx>
        <c:axId val="164726272"/>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164727808"/>
        <c:crosses val="autoZero"/>
        <c:auto val="1"/>
        <c:lblAlgn val="ctr"/>
        <c:lblOffset val="100"/>
        <c:noMultiLvlLbl val="0"/>
      </c:catAx>
      <c:valAx>
        <c:axId val="164727808"/>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164726272"/>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84A7C-DE65-4A42-AF20-2C2B31523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Ezgi</dc:creator>
  <cp:lastModifiedBy>Win-10</cp:lastModifiedBy>
  <cp:revision>2</cp:revision>
  <dcterms:created xsi:type="dcterms:W3CDTF">2024-10-28T05:19:00Z</dcterms:created>
  <dcterms:modified xsi:type="dcterms:W3CDTF">2024-10-28T05:19:00Z</dcterms:modified>
</cp:coreProperties>
</file>