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C0A2" w14:textId="032FDA4F" w:rsidR="00374E00" w:rsidRPr="00E330AF" w:rsidRDefault="008606FA" w:rsidP="00EA7DDA">
      <w:pPr>
        <w:spacing w:line="276" w:lineRule="auto"/>
        <w:jc w:val="center"/>
        <w:rPr>
          <w:b/>
          <w:bCs/>
        </w:rPr>
      </w:pPr>
      <w:r w:rsidRPr="008606FA">
        <w:rPr>
          <w:b/>
          <w:bCs/>
          <w:lang w:eastAsia="tr-TR"/>
        </w:rPr>
        <w:t xml:space="preserve">DİCLE ÜNİVERSİTESİ </w:t>
      </w:r>
      <w:r w:rsidRPr="00E330AF">
        <w:rPr>
          <w:b/>
          <w:bCs/>
        </w:rPr>
        <w:t>SOSYAL</w:t>
      </w:r>
      <w:r w:rsidRPr="008606FA">
        <w:rPr>
          <w:b/>
          <w:bCs/>
          <w:lang w:eastAsia="tr-TR"/>
        </w:rPr>
        <w:t xml:space="preserve"> BİLİMLER ENSTİTÜSÜ</w:t>
      </w:r>
    </w:p>
    <w:p w14:paraId="6F13D138" w14:textId="0D889253" w:rsidR="007B4E9D" w:rsidRPr="00E330AF" w:rsidRDefault="00F85115" w:rsidP="00EA7DDA">
      <w:pPr>
        <w:spacing w:line="276" w:lineRule="auto"/>
        <w:jc w:val="center"/>
        <w:rPr>
          <w:b/>
          <w:bCs/>
        </w:rPr>
      </w:pPr>
      <w:r>
        <w:rPr>
          <w:b/>
          <w:bCs/>
        </w:rPr>
        <w:t xml:space="preserve">2025 YILI </w:t>
      </w:r>
      <w:r w:rsidR="00374E00" w:rsidRPr="00E330AF">
        <w:rPr>
          <w:b/>
          <w:bCs/>
        </w:rPr>
        <w:t xml:space="preserve">LİSANSÜSTÜ </w:t>
      </w:r>
      <w:r w:rsidR="008606FA" w:rsidRPr="008606FA">
        <w:rPr>
          <w:b/>
          <w:bCs/>
          <w:lang w:eastAsia="tr-TR"/>
        </w:rPr>
        <w:t>TEZ ÖDÜ</w:t>
      </w:r>
      <w:r w:rsidR="00374E00" w:rsidRPr="00E330AF">
        <w:rPr>
          <w:b/>
          <w:bCs/>
        </w:rPr>
        <w:t xml:space="preserve">LLERİ </w:t>
      </w:r>
      <w:r w:rsidR="00E330AF">
        <w:rPr>
          <w:b/>
          <w:bCs/>
        </w:rPr>
        <w:t>BAŞVURU İLAN METNİ</w:t>
      </w:r>
    </w:p>
    <w:p w14:paraId="644B749F" w14:textId="77777777" w:rsidR="008606FA" w:rsidRPr="008606FA" w:rsidRDefault="008606FA" w:rsidP="00EA7DDA">
      <w:pPr>
        <w:shd w:val="clear" w:color="auto" w:fill="FFFFFF"/>
        <w:spacing w:line="276" w:lineRule="auto"/>
        <w:jc w:val="center"/>
        <w:rPr>
          <w:rFonts w:eastAsia="Times New Roman" w:cs="Times New Roman"/>
          <w:color w:val="212529"/>
          <w:szCs w:val="24"/>
          <w:lang w:eastAsia="tr-TR"/>
        </w:rPr>
      </w:pPr>
    </w:p>
    <w:p w14:paraId="2CBC0652" w14:textId="64365ADE" w:rsidR="00B95A45" w:rsidRDefault="008606FA" w:rsidP="00EA7DDA">
      <w:pPr>
        <w:widowControl w:val="0"/>
        <w:spacing w:line="276" w:lineRule="auto"/>
        <w:ind w:left="708" w:right="141"/>
        <w:rPr>
          <w:rFonts w:eastAsia="Times New Roman" w:cs="Times New Roman"/>
          <w:szCs w:val="24"/>
        </w:rPr>
      </w:pPr>
      <w:r w:rsidRPr="00271FE2">
        <w:rPr>
          <w:rFonts w:eastAsia="Times New Roman" w:cs="Times New Roman"/>
          <w:bCs/>
          <w:szCs w:val="24"/>
        </w:rPr>
        <w:t>“</w:t>
      </w:r>
      <w:r w:rsidRPr="002915E4">
        <w:rPr>
          <w:rFonts w:eastAsia="Times New Roman" w:cs="Times New Roman"/>
          <w:bCs/>
          <w:i/>
          <w:iCs/>
          <w:szCs w:val="24"/>
        </w:rPr>
        <w:t xml:space="preserve">Dicle Üniversitesi Lisansüstü Tez Ödülleri </w:t>
      </w:r>
      <w:r w:rsidR="00271FE2" w:rsidRPr="002915E4">
        <w:rPr>
          <w:rFonts w:eastAsia="Times New Roman" w:cs="Times New Roman"/>
          <w:bCs/>
          <w:i/>
          <w:iCs/>
          <w:szCs w:val="24"/>
        </w:rPr>
        <w:t>Yönergesi</w:t>
      </w:r>
      <w:r w:rsidR="00271FE2">
        <w:rPr>
          <w:rFonts w:eastAsia="Times New Roman" w:cs="Times New Roman"/>
          <w:bCs/>
          <w:szCs w:val="24"/>
        </w:rPr>
        <w:t>” kapsamında</w:t>
      </w:r>
      <w:r w:rsidR="002915E4">
        <w:rPr>
          <w:rFonts w:eastAsia="Times New Roman" w:cs="Times New Roman"/>
          <w:bCs/>
          <w:szCs w:val="24"/>
        </w:rPr>
        <w:t>;</w:t>
      </w:r>
      <w:r w:rsidR="0098360F" w:rsidRPr="00271FE2">
        <w:rPr>
          <w:rFonts w:eastAsia="Times New Roman" w:cs="Times New Roman"/>
          <w:bCs/>
          <w:szCs w:val="24"/>
        </w:rPr>
        <w:t xml:space="preserve"> </w:t>
      </w:r>
      <w:r w:rsidR="0098360F" w:rsidRPr="00271FE2">
        <w:rPr>
          <w:rFonts w:eastAsia="Times New Roman" w:cs="Times New Roman"/>
          <w:szCs w:val="24"/>
        </w:rPr>
        <w:t xml:space="preserve">Dicle Üniversitesi’ne bağlı Enstitüler bünyesinde hazırlanacak olan lisansüstü tezlerin </w:t>
      </w:r>
      <w:r w:rsidRPr="00271FE2">
        <w:rPr>
          <w:rFonts w:eastAsia="Times New Roman" w:cs="Times New Roman"/>
          <w:szCs w:val="24"/>
        </w:rPr>
        <w:t xml:space="preserve">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 için en iyi lisansüstü tezlere </w:t>
      </w:r>
      <w:r w:rsidR="0098360F" w:rsidRPr="00271FE2">
        <w:rPr>
          <w:rFonts w:eastAsia="Times New Roman" w:cs="Times New Roman"/>
          <w:szCs w:val="24"/>
        </w:rPr>
        <w:t xml:space="preserve">ödül </w:t>
      </w:r>
      <w:r w:rsidRPr="00271FE2">
        <w:rPr>
          <w:rFonts w:eastAsia="Times New Roman" w:cs="Times New Roman"/>
          <w:szCs w:val="24"/>
        </w:rPr>
        <w:t>veril</w:t>
      </w:r>
      <w:r w:rsidR="0098360F" w:rsidRPr="00271FE2">
        <w:rPr>
          <w:rFonts w:eastAsia="Times New Roman" w:cs="Times New Roman"/>
          <w:szCs w:val="24"/>
        </w:rPr>
        <w:t xml:space="preserve">mesine </w:t>
      </w:r>
      <w:r w:rsidR="00C700D3" w:rsidRPr="00271FE2">
        <w:rPr>
          <w:rFonts w:eastAsia="Times New Roman" w:cs="Times New Roman"/>
          <w:szCs w:val="24"/>
        </w:rPr>
        <w:t>imkân</w:t>
      </w:r>
      <w:r w:rsidR="0098360F" w:rsidRPr="00271FE2">
        <w:rPr>
          <w:rFonts w:eastAsia="Times New Roman" w:cs="Times New Roman"/>
          <w:szCs w:val="24"/>
        </w:rPr>
        <w:t xml:space="preserve"> tanınmıştır.</w:t>
      </w:r>
      <w:r w:rsidR="00EF3CFE" w:rsidRPr="00271FE2">
        <w:rPr>
          <w:rFonts w:eastAsia="Times New Roman" w:cs="Times New Roman"/>
          <w:szCs w:val="24"/>
        </w:rPr>
        <w:t xml:space="preserve"> Bu bağlamda ilgili yönerge esas alınmak üzere </w:t>
      </w:r>
      <w:r w:rsidR="002915E4" w:rsidRPr="00271FE2">
        <w:rPr>
          <w:rFonts w:eastAsia="Times New Roman" w:cs="Times New Roman"/>
          <w:szCs w:val="24"/>
        </w:rPr>
        <w:t xml:space="preserve">Sosyal </w:t>
      </w:r>
      <w:r w:rsidR="00EF3CFE" w:rsidRPr="00271FE2">
        <w:rPr>
          <w:rFonts w:eastAsia="Times New Roman" w:cs="Times New Roman"/>
          <w:szCs w:val="24"/>
        </w:rPr>
        <w:t>Bilimler Enstitüsü bünyesinde hazırlan</w:t>
      </w:r>
      <w:r w:rsidR="002915E4">
        <w:rPr>
          <w:rFonts w:eastAsia="Times New Roman" w:cs="Times New Roman"/>
          <w:szCs w:val="24"/>
        </w:rPr>
        <w:t>mış</w:t>
      </w:r>
      <w:r w:rsidR="00EF3CFE" w:rsidRPr="00271FE2">
        <w:rPr>
          <w:rFonts w:eastAsia="Times New Roman" w:cs="Times New Roman"/>
          <w:szCs w:val="24"/>
        </w:rPr>
        <w:t xml:space="preserve"> </w:t>
      </w:r>
      <w:r w:rsidR="00B833E3">
        <w:rPr>
          <w:rFonts w:eastAsia="Times New Roman" w:cs="Times New Roman"/>
          <w:szCs w:val="24"/>
        </w:rPr>
        <w:t xml:space="preserve">ve başvuru yapılmış </w:t>
      </w:r>
      <w:r w:rsidR="00EF3CFE" w:rsidRPr="00271FE2">
        <w:rPr>
          <w:rFonts w:eastAsia="Times New Roman" w:cs="Times New Roman"/>
          <w:szCs w:val="24"/>
        </w:rPr>
        <w:t>Lisansüs</w:t>
      </w:r>
      <w:r w:rsidR="002915E4">
        <w:rPr>
          <w:rFonts w:eastAsia="Times New Roman" w:cs="Times New Roman"/>
          <w:szCs w:val="24"/>
        </w:rPr>
        <w:t>t</w:t>
      </w:r>
      <w:r w:rsidR="00EF3CFE" w:rsidRPr="00271FE2">
        <w:rPr>
          <w:rFonts w:eastAsia="Times New Roman" w:cs="Times New Roman"/>
          <w:szCs w:val="24"/>
        </w:rPr>
        <w:t xml:space="preserve">ü tezler içinden </w:t>
      </w:r>
      <w:r w:rsidR="007507F6">
        <w:rPr>
          <w:rFonts w:eastAsia="Times New Roman" w:cs="Times New Roman"/>
          <w:szCs w:val="24"/>
        </w:rPr>
        <w:t>ilgili komisyonlar tarafından</w:t>
      </w:r>
      <w:r w:rsidR="001F1393">
        <w:rPr>
          <w:rFonts w:eastAsia="Times New Roman" w:cs="Times New Roman"/>
          <w:szCs w:val="24"/>
        </w:rPr>
        <w:t xml:space="preserve"> belirlenen kriterler çerçevesinde </w:t>
      </w:r>
      <w:r w:rsidR="003F12CE">
        <w:rPr>
          <w:rFonts w:eastAsia="Times New Roman" w:cs="Times New Roman"/>
          <w:szCs w:val="24"/>
        </w:rPr>
        <w:t xml:space="preserve">değerlendirilecek ve </w:t>
      </w:r>
      <w:r w:rsidR="00B833E3">
        <w:rPr>
          <w:rFonts w:eastAsia="Times New Roman" w:cs="Times New Roman"/>
          <w:szCs w:val="24"/>
        </w:rPr>
        <w:t>seçilecek</w:t>
      </w:r>
      <w:r w:rsidR="00EF3CFE" w:rsidRPr="00271FE2">
        <w:rPr>
          <w:rFonts w:eastAsia="Times New Roman" w:cs="Times New Roman"/>
          <w:szCs w:val="24"/>
        </w:rPr>
        <w:t xml:space="preserve"> </w:t>
      </w:r>
      <w:r w:rsidR="00B833E3">
        <w:rPr>
          <w:rFonts w:eastAsia="Times New Roman" w:cs="Times New Roman"/>
          <w:szCs w:val="24"/>
        </w:rPr>
        <w:t xml:space="preserve">olan </w:t>
      </w:r>
      <w:r w:rsidR="007A2856" w:rsidRPr="00271FE2">
        <w:rPr>
          <w:rFonts w:eastAsia="Times New Roman" w:cs="Times New Roman"/>
          <w:szCs w:val="24"/>
        </w:rPr>
        <w:t xml:space="preserve">tezlere </w:t>
      </w:r>
      <w:r w:rsidR="00EF3CFE" w:rsidRPr="00271FE2">
        <w:rPr>
          <w:rFonts w:eastAsia="Times New Roman" w:cs="Times New Roman"/>
          <w:szCs w:val="24"/>
        </w:rPr>
        <w:t>“tez ödülü” veri</w:t>
      </w:r>
      <w:r w:rsidR="006654AE">
        <w:rPr>
          <w:rFonts w:eastAsia="Times New Roman" w:cs="Times New Roman"/>
          <w:szCs w:val="24"/>
        </w:rPr>
        <w:t>lmesine karar verilmiştir.</w:t>
      </w:r>
    </w:p>
    <w:p w14:paraId="2D6E6A8C" w14:textId="34723708" w:rsidR="00863C27" w:rsidRPr="00863C27" w:rsidRDefault="00863C27" w:rsidP="00EA7DDA">
      <w:pPr>
        <w:widowControl w:val="0"/>
        <w:spacing w:line="276" w:lineRule="auto"/>
        <w:ind w:left="708" w:right="141"/>
        <w:rPr>
          <w:rFonts w:eastAsia="Times New Roman" w:cs="Times New Roman"/>
          <w:b/>
          <w:bCs/>
          <w:szCs w:val="24"/>
        </w:rPr>
      </w:pPr>
      <w:r w:rsidRPr="00863C27">
        <w:rPr>
          <w:rFonts w:eastAsia="Times New Roman" w:cs="Times New Roman"/>
          <w:b/>
          <w:bCs/>
          <w:szCs w:val="24"/>
        </w:rPr>
        <w:t>Ödül Kategorileri</w:t>
      </w:r>
    </w:p>
    <w:p w14:paraId="7221B453" w14:textId="404AD98D" w:rsidR="00403A9E" w:rsidRPr="00271FE2" w:rsidRDefault="00403A9E" w:rsidP="00EA7DDA">
      <w:pPr>
        <w:widowControl w:val="0"/>
        <w:spacing w:line="276" w:lineRule="auto"/>
        <w:ind w:left="708" w:right="159"/>
        <w:rPr>
          <w:rFonts w:eastAsia="Times New Roman" w:cs="Times New Roman"/>
          <w:szCs w:val="24"/>
        </w:rPr>
      </w:pPr>
      <w:r w:rsidRPr="00271FE2">
        <w:rPr>
          <w:rFonts w:eastAsia="Times New Roman" w:cs="Times New Roman"/>
          <w:szCs w:val="24"/>
        </w:rPr>
        <w:t>Ödüller Sosyal Bilimler Enstitüsü bünyesinde aşağıda belirtilen kategorilerde veril</w:t>
      </w:r>
      <w:r w:rsidR="002915E4">
        <w:rPr>
          <w:rFonts w:eastAsia="Times New Roman" w:cs="Times New Roman"/>
          <w:szCs w:val="24"/>
        </w:rPr>
        <w:t>ecektir</w:t>
      </w:r>
      <w:r w:rsidRPr="00271FE2">
        <w:rPr>
          <w:rFonts w:eastAsia="Times New Roman" w:cs="Times New Roman"/>
          <w:szCs w:val="24"/>
        </w:rPr>
        <w:t xml:space="preserve">. Her kategoride </w:t>
      </w:r>
      <w:r w:rsidRPr="00271FE2">
        <w:rPr>
          <w:rFonts w:eastAsia="Times New Roman" w:cs="Times New Roman"/>
          <w:b/>
          <w:bCs/>
          <w:szCs w:val="24"/>
        </w:rPr>
        <w:t>1 adet yüksek lisans ve 1 adet doktora tez ödülü</w:t>
      </w:r>
      <w:r w:rsidRPr="00271FE2">
        <w:rPr>
          <w:rFonts w:eastAsia="Times New Roman" w:cs="Times New Roman"/>
          <w:szCs w:val="24"/>
        </w:rPr>
        <w:t xml:space="preserve"> verilecektir.</w:t>
      </w:r>
    </w:p>
    <w:p w14:paraId="120FBF3A"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a) Bilimsel ve Teknolojik Gelişmeye Katkı Veren Tez Ödülleri</w:t>
      </w:r>
    </w:p>
    <w:p w14:paraId="0127DD48"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b) Topluma ve Eğitime Katkı Veren Tez Ödülleri</w:t>
      </w:r>
    </w:p>
    <w:p w14:paraId="7160B206"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c) Çevre, Sağlık, Ekonomi ve Sürdürülebilir Kalkınmaya Katkı Veren Tez Ödülleri</w:t>
      </w:r>
    </w:p>
    <w:p w14:paraId="259A8A17" w14:textId="2C42CA64" w:rsidR="00403A9E"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ç) Tezden Kaynaklanan Yayın/Eser Performansı Katkı Ödülü</w:t>
      </w:r>
    </w:p>
    <w:p w14:paraId="195B225E" w14:textId="1045AA2F" w:rsidR="006A59DE" w:rsidRPr="006A59DE" w:rsidRDefault="006A59DE" w:rsidP="00EA7DDA">
      <w:pPr>
        <w:widowControl w:val="0"/>
        <w:pBdr>
          <w:top w:val="nil"/>
          <w:left w:val="nil"/>
          <w:bottom w:val="nil"/>
          <w:right w:val="nil"/>
          <w:between w:val="nil"/>
        </w:pBdr>
        <w:spacing w:line="276" w:lineRule="auto"/>
        <w:ind w:left="708" w:right="159"/>
        <w:rPr>
          <w:rFonts w:eastAsia="Times New Roman" w:cs="Times New Roman"/>
          <w:b/>
          <w:bCs/>
          <w:szCs w:val="24"/>
        </w:rPr>
      </w:pPr>
      <w:r w:rsidRPr="006A59DE">
        <w:rPr>
          <w:rFonts w:eastAsia="Times New Roman" w:cs="Times New Roman"/>
          <w:b/>
          <w:bCs/>
          <w:szCs w:val="24"/>
        </w:rPr>
        <w:t>Ödül</w:t>
      </w:r>
      <w:r w:rsidR="00D716DF">
        <w:rPr>
          <w:rFonts w:eastAsia="Times New Roman" w:cs="Times New Roman"/>
          <w:b/>
          <w:bCs/>
          <w:szCs w:val="24"/>
        </w:rPr>
        <w:t xml:space="preserve"> Takdimi</w:t>
      </w:r>
    </w:p>
    <w:p w14:paraId="23183122" w14:textId="3F7F74DB" w:rsidR="00403A9E" w:rsidRPr="00271FE2" w:rsidRDefault="00784C4A"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Ödül, tezi hazırlayan öğrenci ve birinci danışmana verilecektir. (Ödül olarak başarı belgesi ve plaket verilir.)</w:t>
      </w:r>
    </w:p>
    <w:p w14:paraId="7C7EADF9" w14:textId="77777777" w:rsidR="00B95A45" w:rsidRPr="00271FE2" w:rsidRDefault="00B95A45" w:rsidP="00EA7DDA">
      <w:pPr>
        <w:widowControl w:val="0"/>
        <w:spacing w:line="276" w:lineRule="auto"/>
        <w:ind w:right="141" w:firstLine="708"/>
        <w:rPr>
          <w:rFonts w:eastAsia="Times New Roman" w:cs="Times New Roman"/>
          <w:b/>
          <w:bCs/>
          <w:szCs w:val="24"/>
        </w:rPr>
      </w:pPr>
      <w:r w:rsidRPr="00271FE2">
        <w:rPr>
          <w:rFonts w:eastAsia="Times New Roman" w:cs="Times New Roman"/>
          <w:b/>
          <w:bCs/>
          <w:szCs w:val="24"/>
        </w:rPr>
        <w:t>Başvuru Şartları</w:t>
      </w:r>
    </w:p>
    <w:p w14:paraId="75B96170" w14:textId="2BC6963F" w:rsidR="007A2856" w:rsidRPr="00271FE2" w:rsidRDefault="007A2856" w:rsidP="00EA7DDA">
      <w:pPr>
        <w:widowControl w:val="0"/>
        <w:spacing w:line="276" w:lineRule="auto"/>
        <w:ind w:right="141" w:firstLine="708"/>
        <w:rPr>
          <w:rFonts w:eastAsia="Times New Roman" w:cs="Times New Roman"/>
          <w:szCs w:val="24"/>
        </w:rPr>
      </w:pPr>
      <w:r w:rsidRPr="00271FE2">
        <w:rPr>
          <w:rFonts w:eastAsia="Times New Roman" w:cs="Times New Roman"/>
          <w:szCs w:val="24"/>
        </w:rPr>
        <w:t>Tez ödüllerine başvuru yapabilmek için;</w:t>
      </w:r>
    </w:p>
    <w:p w14:paraId="667EE198" w14:textId="0F18D2BF"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Yüksek lisans ya da Doktora tezinin Dicle Üniversitesi </w:t>
      </w:r>
      <w:r w:rsidR="0048232F" w:rsidRPr="00271FE2">
        <w:rPr>
          <w:rFonts w:eastAsia="Times New Roman" w:cs="Times New Roman"/>
          <w:szCs w:val="24"/>
        </w:rPr>
        <w:t xml:space="preserve">Sosyal Bilimler Enstitüsü </w:t>
      </w:r>
      <w:r w:rsidRPr="00271FE2">
        <w:rPr>
          <w:rFonts w:eastAsia="Times New Roman" w:cs="Times New Roman"/>
          <w:szCs w:val="24"/>
        </w:rPr>
        <w:t>bünyesinde yer alan Ana Bilim Dallarından birisinde tamamlanmış olması</w:t>
      </w:r>
      <w:r w:rsidR="00116F85">
        <w:rPr>
          <w:rFonts w:eastAsia="Times New Roman" w:cs="Times New Roman"/>
          <w:szCs w:val="24"/>
        </w:rPr>
        <w:t xml:space="preserve">; </w:t>
      </w:r>
      <w:r w:rsidRPr="00271FE2">
        <w:rPr>
          <w:rFonts w:eastAsia="Times New Roman" w:cs="Times New Roman"/>
          <w:szCs w:val="24"/>
        </w:rPr>
        <w:t>Tezin ilgili enstitüye teslim edilmiş ve onaylanmış olması gereklidir.</w:t>
      </w:r>
    </w:p>
    <w:p w14:paraId="6769E25E" w14:textId="6A8B04B5"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Öğrencinin bir önceki takvim yılı (</w:t>
      </w:r>
      <w:r w:rsidRPr="00271FE2">
        <w:rPr>
          <w:rFonts w:eastAsia="Times New Roman" w:cs="Times New Roman"/>
          <w:b/>
          <w:bCs/>
          <w:szCs w:val="24"/>
        </w:rPr>
        <w:t>1 Ocak</w:t>
      </w:r>
      <w:r w:rsidR="0048232F" w:rsidRPr="00271FE2">
        <w:rPr>
          <w:rFonts w:eastAsia="Times New Roman" w:cs="Times New Roman"/>
          <w:b/>
          <w:bCs/>
          <w:szCs w:val="24"/>
        </w:rPr>
        <w:t xml:space="preserve"> 202</w:t>
      </w:r>
      <w:r w:rsidR="00C6425A">
        <w:rPr>
          <w:rFonts w:eastAsia="Times New Roman" w:cs="Times New Roman"/>
          <w:b/>
          <w:bCs/>
          <w:szCs w:val="24"/>
        </w:rPr>
        <w:t>4</w:t>
      </w:r>
      <w:r w:rsidRPr="00271FE2">
        <w:rPr>
          <w:rFonts w:eastAsia="Times New Roman" w:cs="Times New Roman"/>
          <w:b/>
          <w:bCs/>
          <w:szCs w:val="24"/>
        </w:rPr>
        <w:t xml:space="preserve"> – 31 Aralık</w:t>
      </w:r>
      <w:r w:rsidR="0048232F" w:rsidRPr="00271FE2">
        <w:rPr>
          <w:rFonts w:eastAsia="Times New Roman" w:cs="Times New Roman"/>
          <w:b/>
          <w:bCs/>
          <w:szCs w:val="24"/>
        </w:rPr>
        <w:t xml:space="preserve"> 202</w:t>
      </w:r>
      <w:r w:rsidR="00C6425A">
        <w:rPr>
          <w:rFonts w:eastAsia="Times New Roman" w:cs="Times New Roman"/>
          <w:b/>
          <w:bCs/>
          <w:szCs w:val="24"/>
        </w:rPr>
        <w:t>4</w:t>
      </w:r>
      <w:r w:rsidRPr="00271FE2">
        <w:rPr>
          <w:rFonts w:eastAsia="Times New Roman" w:cs="Times New Roman"/>
          <w:szCs w:val="24"/>
        </w:rPr>
        <w:t>) içerisinde mezun olması gerekir. Bir tezin sadece bir defa ve bir kategoriye başvuru hakkı vardır. İlgili yılda başvuru yapılmaması halinde sonraki yıllarda başvuru hakkı yoktur.</w:t>
      </w:r>
    </w:p>
    <w:p w14:paraId="457501B0" w14:textId="7BD584AD"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Tez çıktıları arasında; Sosyal Bilimler Enstitüsü yüksek lisans programları için SCI, SCIE, SSCI, AHCI, </w:t>
      </w:r>
      <w:r w:rsidRPr="00271FE2">
        <w:rPr>
          <w:rStyle w:val="spelle"/>
          <w:rFonts w:cs="Times New Roman"/>
          <w:szCs w:val="24"/>
        </w:rPr>
        <w:t xml:space="preserve">ÜAK tarafından </w:t>
      </w:r>
      <w:r w:rsidRPr="00271FE2">
        <w:rPr>
          <w:rFonts w:cs="Times New Roman"/>
          <w:szCs w:val="24"/>
        </w:rPr>
        <w:t xml:space="preserve">belirlenmiş alan indeksleri, TRDİZİN </w:t>
      </w:r>
      <w:r w:rsidRPr="00271FE2">
        <w:rPr>
          <w:rFonts w:eastAsia="Times New Roman" w:cs="Times New Roman"/>
          <w:szCs w:val="24"/>
        </w:rPr>
        <w:t xml:space="preserve">veya Sosyal Bilimler Enstitüsü Yönetim Kurulu tarafından belirlenen son 5 yılda düzenli olarak yayın yapan diğer ve ulusal/uluslararası indekslerde taranan dergilerde; doktora programları için SCI, SCIE, SSCI, AHCI, ÜAK tarafından belirlenmiş alan indeksleri veya TRDİZİN taranan dergilerde yayınlanmış veya DOI numarası alınmış </w:t>
      </w:r>
      <w:r w:rsidRPr="00271FE2">
        <w:rPr>
          <w:rFonts w:eastAsia="Times New Roman" w:cs="Times New Roman"/>
          <w:b/>
          <w:bCs/>
          <w:szCs w:val="24"/>
        </w:rPr>
        <w:t>en az bir adet makalenin bulunması gerekir</w:t>
      </w:r>
      <w:r w:rsidR="00451014">
        <w:rPr>
          <w:rFonts w:eastAsia="Times New Roman" w:cs="Times New Roman"/>
          <w:b/>
          <w:bCs/>
          <w:szCs w:val="24"/>
        </w:rPr>
        <w:t>.</w:t>
      </w:r>
    </w:p>
    <w:p w14:paraId="3F5A9C93" w14:textId="6A288B34"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Bu maddenin (c) fıkrasında belirtilen makalenin yayınlandığı dergi, makale kabulünden sonra yayımlanması için yazardan ücret veya ek ücret talep eden bir dergi olmamalıdır. Ancak makale başvurusu sırasında -kabul/</w:t>
      </w:r>
      <w:proofErr w:type="spellStart"/>
      <w:r w:rsidRPr="00271FE2">
        <w:rPr>
          <w:rFonts w:eastAsia="Times New Roman" w:cs="Times New Roman"/>
          <w:szCs w:val="24"/>
        </w:rPr>
        <w:t>red</w:t>
      </w:r>
      <w:proofErr w:type="spellEnd"/>
      <w:r w:rsidRPr="00271FE2">
        <w:rPr>
          <w:rFonts w:eastAsia="Times New Roman" w:cs="Times New Roman"/>
          <w:szCs w:val="24"/>
        </w:rPr>
        <w:t xml:space="preserve"> şartına bağlı olmaksızın- ücret alan dergiler ve abonelik usulü ile çalıştığı halde ilgili makaleyi </w:t>
      </w:r>
      <w:r w:rsidRPr="00271FE2">
        <w:rPr>
          <w:rFonts w:eastAsia="Times New Roman" w:cs="Times New Roman"/>
          <w:szCs w:val="24"/>
        </w:rPr>
        <w:lastRenderedPageBreak/>
        <w:t>açık erişimli yapmak için ücret talep eden dergiler ödül başvurusu için kullanılabilir.</w:t>
      </w:r>
      <w:r w:rsidR="00A30A08">
        <w:rPr>
          <w:rFonts w:eastAsia="Times New Roman" w:cs="Times New Roman"/>
          <w:szCs w:val="24"/>
        </w:rPr>
        <w:t xml:space="preserve"> (</w:t>
      </w:r>
      <w:r w:rsidR="00A30A08">
        <w:t>Yükseköğretim Genel Kurulu'nun 30 Aralık 2021 tarihli oturumunda Yağmacı/Şaibeli Dergiler hakkında alınan karar doğrultusunda yağmacı/şaibeli sayılmayan dergiler başlığı altında belirtilen, bu doğrultuda ücret talep eden dergiler de tez ödüllerine başvuruda kullanılabilecektir.)</w:t>
      </w:r>
    </w:p>
    <w:p w14:paraId="12358C92" w14:textId="32F674A6"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 İlan edilen başvuru tarihi bittikten sonra yapılacak başvurular kabul edilmez. </w:t>
      </w:r>
    </w:p>
    <w:p w14:paraId="33E5D155" w14:textId="7EA1C8E1" w:rsidR="009335FC" w:rsidRPr="00C834A3" w:rsidRDefault="009335FC" w:rsidP="00EA7DDA">
      <w:pPr>
        <w:pStyle w:val="ListeParagraf"/>
        <w:widowControl w:val="0"/>
        <w:spacing w:line="276" w:lineRule="auto"/>
        <w:ind w:right="141"/>
        <w:rPr>
          <w:rFonts w:eastAsia="Times New Roman" w:cs="Times New Roman"/>
          <w:b/>
          <w:bCs/>
          <w:szCs w:val="24"/>
        </w:rPr>
      </w:pPr>
      <w:r w:rsidRPr="00C834A3">
        <w:rPr>
          <w:rFonts w:eastAsia="Times New Roman" w:cs="Times New Roman"/>
          <w:b/>
          <w:bCs/>
          <w:szCs w:val="24"/>
        </w:rPr>
        <w:t>Başvuru Yeri</w:t>
      </w:r>
      <w:r w:rsidR="00CE7343" w:rsidRPr="00C834A3">
        <w:rPr>
          <w:rFonts w:eastAsia="Times New Roman" w:cs="Times New Roman"/>
          <w:b/>
          <w:bCs/>
          <w:szCs w:val="24"/>
        </w:rPr>
        <w:t xml:space="preserve">, Tarihi </w:t>
      </w:r>
      <w:r w:rsidR="00F60ABC" w:rsidRPr="00C834A3">
        <w:rPr>
          <w:rFonts w:eastAsia="Times New Roman" w:cs="Times New Roman"/>
          <w:b/>
          <w:bCs/>
          <w:szCs w:val="24"/>
        </w:rPr>
        <w:t xml:space="preserve">ve Şekli </w:t>
      </w:r>
    </w:p>
    <w:p w14:paraId="2142CF71" w14:textId="0F5ED9F1" w:rsidR="009335FC" w:rsidRPr="009A3B81" w:rsidRDefault="003D3A30" w:rsidP="00EA7DDA">
      <w:pPr>
        <w:spacing w:line="276" w:lineRule="auto"/>
        <w:ind w:left="708"/>
      </w:pPr>
      <w:r w:rsidRPr="008606FA">
        <w:rPr>
          <w:lang w:eastAsia="tr-TR"/>
        </w:rPr>
        <w:t>Başvuru</w:t>
      </w:r>
      <w:r w:rsidRPr="009A3B81">
        <w:t>lar</w:t>
      </w:r>
      <w:r w:rsidRPr="008606FA">
        <w:rPr>
          <w:lang w:eastAsia="tr-TR"/>
        </w:rPr>
        <w:t>,</w:t>
      </w:r>
      <w:r w:rsidRPr="009A3B81">
        <w:t xml:space="preserve"> </w:t>
      </w:r>
      <w:r w:rsidR="00C6425A">
        <w:rPr>
          <w:b/>
          <w:bCs/>
        </w:rPr>
        <w:t>8 Eylül</w:t>
      </w:r>
      <w:r w:rsidR="00605815" w:rsidRPr="00605815">
        <w:rPr>
          <w:b/>
          <w:bCs/>
        </w:rPr>
        <w:t xml:space="preserve"> 202</w:t>
      </w:r>
      <w:r w:rsidR="00C6425A">
        <w:rPr>
          <w:b/>
          <w:bCs/>
        </w:rPr>
        <w:t>5</w:t>
      </w:r>
      <w:r w:rsidR="00605815" w:rsidRPr="00605815">
        <w:rPr>
          <w:b/>
          <w:bCs/>
        </w:rPr>
        <w:t>-</w:t>
      </w:r>
      <w:r w:rsidR="00C6425A">
        <w:rPr>
          <w:b/>
          <w:bCs/>
        </w:rPr>
        <w:t>10 Ekim</w:t>
      </w:r>
      <w:r w:rsidR="00FA65ED" w:rsidRPr="00605815">
        <w:rPr>
          <w:b/>
          <w:bCs/>
        </w:rPr>
        <w:t xml:space="preserve"> </w:t>
      </w:r>
      <w:r w:rsidR="00605815" w:rsidRPr="00605815">
        <w:rPr>
          <w:b/>
          <w:bCs/>
        </w:rPr>
        <w:t>202</w:t>
      </w:r>
      <w:r w:rsidR="00C6425A">
        <w:rPr>
          <w:b/>
          <w:bCs/>
        </w:rPr>
        <w:t>5</w:t>
      </w:r>
      <w:r w:rsidR="00605815">
        <w:t xml:space="preserve"> tarihleri arasında</w:t>
      </w:r>
      <w:r w:rsidR="001577B9">
        <w:t>;</w:t>
      </w:r>
      <w:r w:rsidR="00605815">
        <w:t xml:space="preserve"> </w:t>
      </w:r>
      <w:r w:rsidRPr="008606FA">
        <w:rPr>
          <w:b/>
          <w:bCs/>
          <w:lang w:eastAsia="tr-TR"/>
        </w:rPr>
        <w:t xml:space="preserve">öğrenci/danışman tarafından </w:t>
      </w:r>
      <w:r w:rsidR="00C6425A">
        <w:rPr>
          <w:b/>
          <w:bCs/>
          <w:lang w:eastAsia="tr-TR"/>
        </w:rPr>
        <w:t xml:space="preserve">Sosyal Bilimler Enstitüsü Müdürlüğüne </w:t>
      </w:r>
      <w:r w:rsidR="00A72907">
        <w:rPr>
          <w:b/>
          <w:bCs/>
          <w:lang w:eastAsia="tr-TR"/>
        </w:rPr>
        <w:t xml:space="preserve">şahsen veya posta yolu ile </w:t>
      </w:r>
      <w:r w:rsidR="00F60ABC" w:rsidRPr="009A3B81">
        <w:t>yapılacaktır</w:t>
      </w:r>
      <w:r w:rsidRPr="009A3B81">
        <w:t>.</w:t>
      </w:r>
      <w:r w:rsidR="00600EED">
        <w:t xml:space="preserve"> </w:t>
      </w:r>
    </w:p>
    <w:p w14:paraId="1BDA5E91" w14:textId="04645C76" w:rsidR="00BB2CA9" w:rsidRPr="00271FE2" w:rsidRDefault="00BB2CA9" w:rsidP="00EA7DDA">
      <w:pPr>
        <w:widowControl w:val="0"/>
        <w:spacing w:line="276" w:lineRule="auto"/>
        <w:ind w:firstLine="708"/>
        <w:rPr>
          <w:rFonts w:eastAsia="Times New Roman" w:cs="Times New Roman"/>
          <w:b/>
          <w:szCs w:val="24"/>
        </w:rPr>
      </w:pPr>
      <w:r w:rsidRPr="00271FE2">
        <w:rPr>
          <w:rFonts w:eastAsia="Times New Roman" w:cs="Times New Roman"/>
          <w:b/>
          <w:szCs w:val="24"/>
        </w:rPr>
        <w:t>Başvuruların Değerlendirilmesi</w:t>
      </w:r>
    </w:p>
    <w:p w14:paraId="193BCFD8" w14:textId="56FE3526" w:rsidR="00BB2CA9" w:rsidRPr="00271FE2" w:rsidRDefault="00BB2CA9" w:rsidP="00EA7DDA">
      <w:pPr>
        <w:widowControl w:val="0"/>
        <w:spacing w:line="276" w:lineRule="auto"/>
        <w:ind w:left="708"/>
        <w:rPr>
          <w:rFonts w:eastAsia="Times New Roman" w:cs="Times New Roman"/>
          <w:szCs w:val="24"/>
        </w:rPr>
      </w:pPr>
      <w:r w:rsidRPr="00271FE2">
        <w:rPr>
          <w:rFonts w:eastAsia="Times New Roman" w:cs="Times New Roman"/>
          <w:szCs w:val="24"/>
        </w:rPr>
        <w:t>Sosyal Bilimler Enstitüsü’ne yapılan başvurular, Enstitü Yönetim Kurulu tarafından değerlendirilecek ve belirlenecektir. Tez ödülleri Üniversite Yönetim Kurulu kararı sonrasında kesinleşecektir.</w:t>
      </w:r>
    </w:p>
    <w:p w14:paraId="6B045291" w14:textId="702F8508" w:rsidR="00DA67E4" w:rsidRPr="00271FE2" w:rsidRDefault="00DA67E4" w:rsidP="00EA7DDA">
      <w:pPr>
        <w:widowControl w:val="0"/>
        <w:spacing w:line="276" w:lineRule="auto"/>
        <w:ind w:firstLine="708"/>
        <w:rPr>
          <w:rFonts w:eastAsia="Times New Roman" w:cs="Times New Roman"/>
          <w:b/>
          <w:szCs w:val="24"/>
        </w:rPr>
      </w:pPr>
      <w:r w:rsidRPr="00271FE2">
        <w:rPr>
          <w:rFonts w:eastAsia="Times New Roman" w:cs="Times New Roman"/>
          <w:b/>
          <w:szCs w:val="24"/>
        </w:rPr>
        <w:t>Değerlendirme Kriterleri</w:t>
      </w:r>
    </w:p>
    <w:p w14:paraId="6A0F7532" w14:textId="74690E85" w:rsidR="00DA67E4" w:rsidRPr="00271FE2" w:rsidRDefault="00DA67E4" w:rsidP="00EA7DDA">
      <w:pPr>
        <w:widowControl w:val="0"/>
        <w:spacing w:line="276" w:lineRule="auto"/>
        <w:ind w:firstLine="708"/>
        <w:rPr>
          <w:rFonts w:eastAsia="Times New Roman" w:cs="Times New Roman"/>
          <w:bCs/>
          <w:szCs w:val="24"/>
        </w:rPr>
      </w:pPr>
      <w:r w:rsidRPr="00271FE2">
        <w:rPr>
          <w:rFonts w:eastAsia="Times New Roman" w:cs="Times New Roman"/>
          <w:bCs/>
          <w:szCs w:val="24"/>
        </w:rPr>
        <w:t>Lisansüstü Tezlerin değerlendirme kriterleri şunlardır;</w:t>
      </w:r>
    </w:p>
    <w:p w14:paraId="00D57A41" w14:textId="73541DCD" w:rsidR="00DA67E4" w:rsidRPr="00271FE2" w:rsidRDefault="00DA67E4" w:rsidP="00EA7DDA">
      <w:pPr>
        <w:pStyle w:val="ListeParagraf"/>
        <w:widowControl w:val="0"/>
        <w:numPr>
          <w:ilvl w:val="0"/>
          <w:numId w:val="2"/>
        </w:numPr>
        <w:spacing w:line="276" w:lineRule="auto"/>
        <w:rPr>
          <w:rFonts w:eastAsia="Times New Roman" w:cs="Times New Roman"/>
          <w:szCs w:val="24"/>
        </w:rPr>
      </w:pPr>
      <w:r w:rsidRPr="00271FE2">
        <w:rPr>
          <w:rFonts w:eastAsia="Times New Roman" w:cs="Times New Roman"/>
          <w:szCs w:val="24"/>
        </w:rPr>
        <w:t>Çalışılan konunun özgünlük derecesi,</w:t>
      </w:r>
    </w:p>
    <w:p w14:paraId="18BFC0EB"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Başvuru yapılan alana etkisi,</w:t>
      </w:r>
    </w:p>
    <w:p w14:paraId="0F58BEC8"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Sağlayacağı yaygın etkisi,</w:t>
      </w:r>
    </w:p>
    <w:p w14:paraId="5A9BC19A"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4394"/>
        <w:rPr>
          <w:rFonts w:eastAsia="Times New Roman" w:cs="Times New Roman"/>
          <w:szCs w:val="24"/>
        </w:rPr>
      </w:pPr>
      <w:r w:rsidRPr="00271FE2">
        <w:rPr>
          <w:rFonts w:eastAsia="Times New Roman" w:cs="Times New Roman"/>
          <w:szCs w:val="24"/>
        </w:rPr>
        <w:t>Tezden üretilen yayınlar,</w:t>
      </w:r>
    </w:p>
    <w:p w14:paraId="245F2952"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2409"/>
        <w:rPr>
          <w:rFonts w:eastAsia="Times New Roman" w:cs="Times New Roman"/>
          <w:szCs w:val="24"/>
        </w:rPr>
      </w:pPr>
      <w:r w:rsidRPr="00271FE2">
        <w:rPr>
          <w:rFonts w:eastAsia="Times New Roman" w:cs="Times New Roman"/>
          <w:szCs w:val="24"/>
        </w:rPr>
        <w:t>Tez çalışması ile ilgili patentler/faydalı modeller,</w:t>
      </w:r>
    </w:p>
    <w:p w14:paraId="71C0EE07"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Tezin desteklendiği projeler,</w:t>
      </w:r>
    </w:p>
    <w:p w14:paraId="11786813"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1559"/>
        <w:rPr>
          <w:rFonts w:eastAsia="Times New Roman" w:cs="Times New Roman"/>
          <w:szCs w:val="24"/>
        </w:rPr>
      </w:pPr>
      <w:r w:rsidRPr="00271FE2">
        <w:rPr>
          <w:rFonts w:eastAsia="Times New Roman" w:cs="Times New Roman"/>
          <w:szCs w:val="24"/>
        </w:rPr>
        <w:t>Tezin veya tezden çıkan yayınların aldığı ödüller,</w:t>
      </w:r>
    </w:p>
    <w:p w14:paraId="533D592C" w14:textId="6EABAD33" w:rsidR="00DA67E4" w:rsidRPr="00271FE2" w:rsidRDefault="00DA67E4" w:rsidP="00EA7DDA">
      <w:pPr>
        <w:widowControl w:val="0"/>
        <w:numPr>
          <w:ilvl w:val="0"/>
          <w:numId w:val="2"/>
        </w:numPr>
        <w:pBdr>
          <w:top w:val="nil"/>
          <w:left w:val="nil"/>
          <w:bottom w:val="nil"/>
          <w:right w:val="nil"/>
          <w:between w:val="nil"/>
        </w:pBdr>
        <w:spacing w:line="276" w:lineRule="auto"/>
        <w:ind w:right="141"/>
        <w:rPr>
          <w:rFonts w:eastAsia="Times New Roman" w:cs="Times New Roman"/>
          <w:szCs w:val="24"/>
        </w:rPr>
      </w:pPr>
      <w:r w:rsidRPr="00271FE2">
        <w:rPr>
          <w:rFonts w:eastAsia="Times New Roman" w:cs="Times New Roman"/>
          <w:szCs w:val="24"/>
        </w:rPr>
        <w:t>Tezin yazım kalitesi</w:t>
      </w:r>
    </w:p>
    <w:p w14:paraId="4B206275" w14:textId="6031021B" w:rsidR="00BC086D" w:rsidRPr="00271FE2" w:rsidRDefault="00BC086D" w:rsidP="00EA7DDA">
      <w:pPr>
        <w:widowControl w:val="0"/>
        <w:pBdr>
          <w:top w:val="nil"/>
          <w:left w:val="nil"/>
          <w:bottom w:val="nil"/>
          <w:right w:val="nil"/>
          <w:between w:val="nil"/>
        </w:pBdr>
        <w:spacing w:line="276" w:lineRule="auto"/>
        <w:ind w:left="708" w:right="141"/>
        <w:rPr>
          <w:rFonts w:eastAsia="Times New Roman" w:cs="Times New Roman"/>
          <w:b/>
          <w:bCs/>
          <w:szCs w:val="24"/>
        </w:rPr>
      </w:pPr>
      <w:r w:rsidRPr="00271FE2">
        <w:rPr>
          <w:rFonts w:eastAsia="Times New Roman" w:cs="Times New Roman"/>
          <w:b/>
          <w:bCs/>
          <w:szCs w:val="24"/>
        </w:rPr>
        <w:t xml:space="preserve">Başvuru için Gerekli Belgeler </w:t>
      </w:r>
    </w:p>
    <w:p w14:paraId="35FB3B22"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Eksiksiz doldurulmuş Başvuru Formu (Ek-1)</w:t>
      </w:r>
    </w:p>
    <w:p w14:paraId="021858BA"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Ön değerlendirme tablosu (Ek-2)</w:t>
      </w:r>
    </w:p>
    <w:p w14:paraId="7B109515"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 Savunma Tutanağı</w:t>
      </w:r>
    </w:p>
    <w:p w14:paraId="46344BB4"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tescil edildiğine dair Enstitü Yönetim Kurulu kararı</w:t>
      </w:r>
    </w:p>
    <w:p w14:paraId="5F4919B9"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ciltli ve imzaları tam bir kopyası</w:t>
      </w:r>
    </w:p>
    <w:p w14:paraId="126CA62D" w14:textId="77777777" w:rsidR="00BC086D" w:rsidRPr="00271FE2" w:rsidRDefault="00BC086D" w:rsidP="00EA7DDA">
      <w:pPr>
        <w:widowControl w:val="0"/>
        <w:numPr>
          <w:ilvl w:val="0"/>
          <w:numId w:val="3"/>
        </w:numPr>
        <w:pBdr>
          <w:top w:val="nil"/>
          <w:left w:val="nil"/>
          <w:bottom w:val="nil"/>
          <w:right w:val="nil"/>
          <w:between w:val="nil"/>
        </w:pBdr>
        <w:spacing w:line="276" w:lineRule="auto"/>
        <w:rPr>
          <w:rFonts w:eastAsia="Times New Roman" w:cs="Times New Roman"/>
          <w:szCs w:val="24"/>
        </w:rPr>
      </w:pPr>
      <w:r w:rsidRPr="00271FE2">
        <w:rPr>
          <w:rFonts w:eastAsia="Times New Roman" w:cs="Times New Roman"/>
          <w:szCs w:val="24"/>
        </w:rPr>
        <w:t>Tezden üretilen yayınların listesi (Listedeki yayın gruplaması; SCI, SCIE, SSCI ve AHCI kapsamındaki dergi yayınları, ÜAK tarafından belirlenmiş alan indeksleri kapsamındaki dergiler, TRDİZİN tarafından taranan dergiler, diğer uluslararası dergilerdeki yayınlar, ulusal hakemli dergilerdeki yayınlar, uluslararası konferans bildirileri, ulusal konferans bildirileri, patent, faydalı model vb. şeklinde sıralanmalıdır.)</w:t>
      </w:r>
    </w:p>
    <w:p w14:paraId="6D2FC94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Tezden üretilmiş yayınlar (Yayında ilgili yayının öğrencinin tez çalışmasının bir kısmını oluşturduğunun belirtilmesi beklenmektedir.)</w:t>
      </w:r>
    </w:p>
    <w:p w14:paraId="5D490307"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Makalelerin birinci sayfası (yayın adresi, yazar isimleri, yazarların kurumları ve özeti görünmelidir) </w:t>
      </w:r>
    </w:p>
    <w:p w14:paraId="55060EC4"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14:paraId="64714C45"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lastRenderedPageBreak/>
        <w:t>Sergi/fuar sunumları için organizasyonu gösteren broşür/afiş ve katılım/davet belgesi</w:t>
      </w:r>
    </w:p>
    <w:p w14:paraId="6987CF7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Kitap ve kitapta bölümler için kitabın adı, künyesi, varsa editörünün ismini gösteren sayfaların bir kopyası, kitapta bölüm ise ilk sayfasının fotokopisi (bölüm başlığı ve yazarların isimleri görülecek şekilde)</w:t>
      </w:r>
    </w:p>
    <w:p w14:paraId="1A2E6D8F"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14:paraId="022DC751" w14:textId="5D223BC6" w:rsidR="00BC086D" w:rsidRDefault="00BC086D" w:rsidP="00EA7DDA">
      <w:pPr>
        <w:widowControl w:val="0"/>
        <w:pBdr>
          <w:top w:val="nil"/>
          <w:left w:val="nil"/>
          <w:bottom w:val="nil"/>
          <w:right w:val="nil"/>
          <w:between w:val="nil"/>
        </w:pBdr>
        <w:spacing w:before="22" w:line="276" w:lineRule="auto"/>
        <w:ind w:left="1068" w:right="99"/>
        <w:rPr>
          <w:rFonts w:eastAsia="Times New Roman" w:cs="Times New Roman"/>
          <w:szCs w:val="24"/>
        </w:rPr>
      </w:pPr>
      <w:r w:rsidRPr="00271FE2">
        <w:rPr>
          <w:rFonts w:eastAsia="Times New Roman" w:cs="Times New Roman"/>
          <w:szCs w:val="24"/>
        </w:rPr>
        <w:t>Bütün kategorilerde ödül için sunulacak yayınların yayınlanmış olması ya da DOI numarası almış olması gerekir.  Kabul edilmiş yayınlar için kabul edildiğini ispatlayacak belge sunulmalıdır.  Hazırlanmakta olan ve değerlendirme sürecinde olan yayınlar kabul edilmez.</w:t>
      </w:r>
    </w:p>
    <w:p w14:paraId="22CDD7D0" w14:textId="4D6DC92E" w:rsidR="00042D57" w:rsidRPr="00042D57" w:rsidRDefault="00042D57" w:rsidP="00EA7DDA">
      <w:pPr>
        <w:widowControl w:val="0"/>
        <w:pBdr>
          <w:top w:val="nil"/>
          <w:left w:val="nil"/>
          <w:bottom w:val="nil"/>
          <w:right w:val="nil"/>
          <w:between w:val="nil"/>
        </w:pBdr>
        <w:spacing w:before="22" w:line="276" w:lineRule="auto"/>
        <w:ind w:left="1068" w:right="99"/>
        <w:rPr>
          <w:rFonts w:eastAsia="Times New Roman" w:cs="Times New Roman"/>
          <w:b/>
          <w:bCs/>
          <w:szCs w:val="24"/>
        </w:rPr>
      </w:pPr>
      <w:r w:rsidRPr="00042D57">
        <w:rPr>
          <w:rFonts w:eastAsia="Times New Roman" w:cs="Times New Roman"/>
          <w:b/>
          <w:bCs/>
          <w:szCs w:val="24"/>
        </w:rPr>
        <w:t xml:space="preserve">Başvuru için gerekli belgeler bir dosya halinde Sosyal Bilimler Enstitüsü Müdürlüğüne elden </w:t>
      </w:r>
      <w:r w:rsidR="00A72907">
        <w:rPr>
          <w:rFonts w:eastAsia="Times New Roman" w:cs="Times New Roman"/>
          <w:b/>
          <w:bCs/>
          <w:szCs w:val="24"/>
        </w:rPr>
        <w:t xml:space="preserve">veya posta yolu ile </w:t>
      </w:r>
      <w:r w:rsidRPr="00042D57">
        <w:rPr>
          <w:rFonts w:eastAsia="Times New Roman" w:cs="Times New Roman"/>
          <w:b/>
          <w:bCs/>
          <w:szCs w:val="24"/>
        </w:rPr>
        <w:t>teslim edilecektir.</w:t>
      </w:r>
    </w:p>
    <w:p w14:paraId="4D9B76FF" w14:textId="34C34AD1" w:rsidR="00BC086D" w:rsidRDefault="00600EED" w:rsidP="00EA7DDA">
      <w:pPr>
        <w:spacing w:line="276" w:lineRule="auto"/>
        <w:ind w:left="1068"/>
      </w:pPr>
      <w:r>
        <w:t xml:space="preserve">Tez ödülleri hakkında detaylı bilgi için </w:t>
      </w:r>
      <w:hyperlink r:id="rId5" w:history="1">
        <w:r w:rsidRPr="00740805">
          <w:rPr>
            <w:rStyle w:val="Kpr"/>
            <w:color w:val="auto"/>
            <w:u w:val="none"/>
          </w:rPr>
          <w:t>Dicle Üniversitesi Lisansüstü Tez Ödülleri Yönergesi</w:t>
        </w:r>
      </w:hyperlink>
      <w:r>
        <w:t>ni inceleyiniz.</w:t>
      </w:r>
    </w:p>
    <w:p w14:paraId="7231B954" w14:textId="78BF9393" w:rsidR="00BF5F95" w:rsidRPr="00BF5F95" w:rsidRDefault="00BF5F95" w:rsidP="00EA7DDA">
      <w:pPr>
        <w:spacing w:before="299" w:line="276" w:lineRule="auto"/>
        <w:ind w:left="1701" w:hanging="993"/>
        <w:rPr>
          <w:rFonts w:eastAsia="Calibri" w:cs="Times New Roman"/>
          <w:szCs w:val="24"/>
        </w:rPr>
      </w:pPr>
      <w:r>
        <w:rPr>
          <w:rFonts w:eastAsia="Calibri" w:cs="Times New Roman"/>
          <w:b/>
          <w:bCs/>
          <w:spacing w:val="-1"/>
          <w:szCs w:val="24"/>
        </w:rPr>
        <w:t xml:space="preserve">     </w:t>
      </w:r>
      <w:r w:rsidRPr="00BF5F95">
        <w:rPr>
          <w:rFonts w:eastAsia="Calibri" w:cs="Times New Roman"/>
          <w:b/>
          <w:bCs/>
          <w:spacing w:val="-1"/>
          <w:szCs w:val="24"/>
        </w:rPr>
        <w:t>Adres</w:t>
      </w:r>
      <w:r>
        <w:rPr>
          <w:rFonts w:eastAsia="Calibri" w:cs="Times New Roman"/>
          <w:b/>
          <w:bCs/>
          <w:spacing w:val="-1"/>
          <w:szCs w:val="24"/>
        </w:rPr>
        <w:t>:</w:t>
      </w:r>
      <w:r w:rsidRPr="00BF5F95">
        <w:rPr>
          <w:rFonts w:eastAsia="Calibri" w:cs="Times New Roman"/>
          <w:b/>
          <w:bCs/>
          <w:spacing w:val="-1"/>
          <w:szCs w:val="24"/>
        </w:rPr>
        <w:tab/>
      </w:r>
      <w:r>
        <w:rPr>
          <w:rFonts w:eastAsia="Calibri" w:cs="Times New Roman"/>
          <w:b/>
          <w:bCs/>
          <w:spacing w:val="-1"/>
          <w:szCs w:val="24"/>
        </w:rPr>
        <w:t xml:space="preserve"> </w:t>
      </w:r>
      <w:r w:rsidRPr="00BF5F95">
        <w:rPr>
          <w:rFonts w:eastAsia="Calibri" w:cs="Times New Roman"/>
          <w:szCs w:val="24"/>
        </w:rPr>
        <w:t xml:space="preserve">Dicle Üniversitesi </w:t>
      </w:r>
      <w:r>
        <w:rPr>
          <w:rFonts w:eastAsia="Calibri" w:cs="Times New Roman"/>
          <w:szCs w:val="24"/>
        </w:rPr>
        <w:t xml:space="preserve">Sosyal </w:t>
      </w:r>
      <w:r w:rsidRPr="00BF5F95">
        <w:rPr>
          <w:rFonts w:eastAsia="Calibri" w:cs="Times New Roman"/>
          <w:szCs w:val="24"/>
        </w:rPr>
        <w:t>Bilimler</w:t>
      </w:r>
      <w:r w:rsidRPr="00BF5F95">
        <w:rPr>
          <w:rFonts w:eastAsia="Calibri" w:cs="Times New Roman"/>
          <w:spacing w:val="-2"/>
          <w:szCs w:val="24"/>
        </w:rPr>
        <w:t xml:space="preserve"> </w:t>
      </w:r>
      <w:r w:rsidRPr="00BF5F95">
        <w:rPr>
          <w:rFonts w:eastAsia="Calibri" w:cs="Times New Roman"/>
          <w:szCs w:val="24"/>
        </w:rPr>
        <w:t>Enstitüsü, Ceylan</w:t>
      </w:r>
      <w:r w:rsidRPr="00BF5F95">
        <w:rPr>
          <w:rFonts w:eastAsia="Calibri" w:cs="Times New Roman"/>
          <w:spacing w:val="-2"/>
          <w:szCs w:val="24"/>
        </w:rPr>
        <w:t xml:space="preserve"> </w:t>
      </w:r>
      <w:r w:rsidRPr="00BF5F95">
        <w:rPr>
          <w:rFonts w:eastAsia="Calibri" w:cs="Times New Roman"/>
          <w:szCs w:val="24"/>
        </w:rPr>
        <w:t>Enstitüler</w:t>
      </w:r>
      <w:r w:rsidRPr="00BF5F95">
        <w:rPr>
          <w:rFonts w:eastAsia="Calibri" w:cs="Times New Roman"/>
          <w:spacing w:val="1"/>
          <w:szCs w:val="24"/>
        </w:rPr>
        <w:t xml:space="preserve"> </w:t>
      </w:r>
      <w:r w:rsidRPr="00BF5F95">
        <w:rPr>
          <w:rFonts w:eastAsia="Calibri" w:cs="Times New Roman"/>
          <w:spacing w:val="-1"/>
          <w:szCs w:val="24"/>
        </w:rPr>
        <w:t xml:space="preserve">Binası 21280 </w:t>
      </w:r>
      <w:r w:rsidRPr="00BF5F95">
        <w:rPr>
          <w:rFonts w:ascii="Cambria Math" w:eastAsia="Calibri" w:hAnsi="Cambria Math" w:cs="Cambria Math"/>
          <w:szCs w:val="24"/>
        </w:rPr>
        <w:t>‐</w:t>
      </w:r>
      <w:r w:rsidRPr="00BF5F95">
        <w:rPr>
          <w:rFonts w:eastAsia="Calibri" w:cs="Times New Roman"/>
          <w:szCs w:val="24"/>
        </w:rPr>
        <w:t xml:space="preserve"> </w:t>
      </w:r>
      <w:r w:rsidRPr="00BF5F95">
        <w:rPr>
          <w:rFonts w:eastAsia="Calibri" w:cs="Times New Roman"/>
          <w:spacing w:val="-1"/>
          <w:szCs w:val="24"/>
        </w:rPr>
        <w:t>DİYARBAKIR</w:t>
      </w:r>
    </w:p>
    <w:tbl>
      <w:tblPr>
        <w:tblStyle w:val="TableNormal"/>
        <w:tblW w:w="8106" w:type="dxa"/>
        <w:tblInd w:w="982" w:type="dxa"/>
        <w:tblLayout w:type="fixed"/>
        <w:tblLook w:val="01E0" w:firstRow="1" w:lastRow="1" w:firstColumn="1" w:lastColumn="1" w:noHBand="0" w:noVBand="0"/>
      </w:tblPr>
      <w:tblGrid>
        <w:gridCol w:w="1356"/>
        <w:gridCol w:w="4260"/>
        <w:gridCol w:w="2490"/>
      </w:tblGrid>
      <w:tr w:rsidR="00BF5F95" w:rsidRPr="00BF5F95" w14:paraId="07992C3A" w14:textId="77777777" w:rsidTr="00BF5F95">
        <w:trPr>
          <w:trHeight w:hRule="exact" w:val="494"/>
        </w:trPr>
        <w:tc>
          <w:tcPr>
            <w:tcW w:w="1356" w:type="dxa"/>
            <w:hideMark/>
          </w:tcPr>
          <w:p w14:paraId="789FBADB"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proofErr w:type="spellStart"/>
            <w:r w:rsidRPr="00BF5F95">
              <w:rPr>
                <w:rFonts w:ascii="Times New Roman" w:hAnsi="Times New Roman" w:cs="Times New Roman"/>
                <w:b/>
                <w:sz w:val="24"/>
                <w:szCs w:val="24"/>
              </w:rPr>
              <w:t>Telefon</w:t>
            </w:r>
            <w:proofErr w:type="spellEnd"/>
          </w:p>
        </w:tc>
        <w:tc>
          <w:tcPr>
            <w:tcW w:w="4260" w:type="dxa"/>
            <w:hideMark/>
          </w:tcPr>
          <w:p w14:paraId="22D060C4" w14:textId="77777777" w:rsidR="00BF5F95" w:rsidRPr="00BF5F95" w:rsidRDefault="00BF5F95" w:rsidP="00EA7DDA">
            <w:pPr>
              <w:pStyle w:val="TableParagraph"/>
              <w:spacing w:before="51" w:line="276" w:lineRule="auto"/>
              <w:ind w:left="457"/>
              <w:rPr>
                <w:rFonts w:ascii="Times New Roman" w:eastAsia="Calibri" w:hAnsi="Times New Roman" w:cs="Times New Roman"/>
                <w:sz w:val="24"/>
                <w:szCs w:val="24"/>
              </w:rPr>
            </w:pPr>
            <w:r w:rsidRPr="00BF5F95">
              <w:rPr>
                <w:rFonts w:ascii="Times New Roman" w:hAnsi="Times New Roman" w:cs="Times New Roman"/>
                <w:sz w:val="24"/>
                <w:szCs w:val="24"/>
              </w:rPr>
              <w:t>90 (412) 241 10 10</w:t>
            </w:r>
          </w:p>
        </w:tc>
        <w:tc>
          <w:tcPr>
            <w:tcW w:w="2490" w:type="dxa"/>
            <w:hideMark/>
          </w:tcPr>
          <w:p w14:paraId="2F1D06C3" w14:textId="1A25F788" w:rsidR="00BF5F95" w:rsidRPr="00BF5F95" w:rsidRDefault="00BF5F95" w:rsidP="00EA7DDA">
            <w:pPr>
              <w:pStyle w:val="TableParagraph"/>
              <w:spacing w:before="51" w:line="276" w:lineRule="auto"/>
              <w:rPr>
                <w:rFonts w:ascii="Times New Roman" w:eastAsia="Calibri" w:hAnsi="Times New Roman" w:cs="Times New Roman"/>
                <w:sz w:val="24"/>
                <w:szCs w:val="24"/>
              </w:rPr>
            </w:pPr>
            <w:proofErr w:type="spellStart"/>
            <w:r w:rsidRPr="00BF5F95">
              <w:rPr>
                <w:rFonts w:ascii="Times New Roman" w:hAnsi="Times New Roman" w:cs="Times New Roman"/>
                <w:sz w:val="24"/>
                <w:szCs w:val="24"/>
              </w:rPr>
              <w:t>Dahili</w:t>
            </w:r>
            <w:proofErr w:type="spellEnd"/>
            <w:r w:rsidRPr="00BF5F95">
              <w:rPr>
                <w:rFonts w:ascii="Times New Roman" w:hAnsi="Times New Roman" w:cs="Times New Roman"/>
                <w:spacing w:val="54"/>
                <w:sz w:val="24"/>
                <w:szCs w:val="24"/>
              </w:rPr>
              <w:t xml:space="preserve"> </w:t>
            </w:r>
            <w:r w:rsidR="00F911AD">
              <w:rPr>
                <w:rFonts w:ascii="Times New Roman" w:hAnsi="Times New Roman" w:cs="Times New Roman"/>
                <w:sz w:val="24"/>
                <w:szCs w:val="24"/>
              </w:rPr>
              <w:t>8778</w:t>
            </w:r>
            <w:r w:rsidRPr="00BF5F95">
              <w:rPr>
                <w:rFonts w:ascii="Times New Roman" w:hAnsi="Times New Roman" w:cs="Times New Roman"/>
                <w:sz w:val="24"/>
                <w:szCs w:val="24"/>
              </w:rPr>
              <w:t>/845</w:t>
            </w:r>
            <w:r w:rsidR="00F911AD">
              <w:rPr>
                <w:rFonts w:ascii="Times New Roman" w:hAnsi="Times New Roman" w:cs="Times New Roman"/>
                <w:sz w:val="24"/>
                <w:szCs w:val="24"/>
              </w:rPr>
              <w:t>5.</w:t>
            </w:r>
          </w:p>
        </w:tc>
      </w:tr>
      <w:tr w:rsidR="00BF5F95" w:rsidRPr="00BF5F95" w14:paraId="28B27305" w14:textId="77777777" w:rsidTr="00BF5F95">
        <w:trPr>
          <w:trHeight w:hRule="exact" w:val="494"/>
        </w:trPr>
        <w:tc>
          <w:tcPr>
            <w:tcW w:w="1356" w:type="dxa"/>
            <w:hideMark/>
          </w:tcPr>
          <w:p w14:paraId="1A426831"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r w:rsidRPr="00BF5F95">
              <w:rPr>
                <w:rFonts w:ascii="Times New Roman" w:eastAsia="Calibri" w:hAnsi="Times New Roman" w:cs="Times New Roman"/>
                <w:b/>
                <w:bCs/>
                <w:sz w:val="24"/>
                <w:szCs w:val="24"/>
              </w:rPr>
              <w:t>E</w:t>
            </w:r>
            <w:r w:rsidRPr="00BF5F95">
              <w:rPr>
                <w:rFonts w:ascii="Cambria Math" w:eastAsia="Calibri" w:hAnsi="Cambria Math" w:cs="Cambria Math"/>
                <w:b/>
                <w:bCs/>
                <w:sz w:val="24"/>
                <w:szCs w:val="24"/>
              </w:rPr>
              <w:t>‐</w:t>
            </w:r>
            <w:proofErr w:type="spellStart"/>
            <w:r w:rsidRPr="00BF5F95">
              <w:rPr>
                <w:rFonts w:ascii="Times New Roman" w:eastAsia="Calibri" w:hAnsi="Times New Roman" w:cs="Times New Roman"/>
                <w:b/>
                <w:bCs/>
                <w:sz w:val="24"/>
                <w:szCs w:val="24"/>
              </w:rPr>
              <w:t>posta</w:t>
            </w:r>
            <w:proofErr w:type="spellEnd"/>
            <w:r w:rsidRPr="00BF5F95">
              <w:rPr>
                <w:rFonts w:ascii="Times New Roman" w:eastAsia="Calibri" w:hAnsi="Times New Roman" w:cs="Times New Roman"/>
                <w:b/>
                <w:bCs/>
                <w:sz w:val="24"/>
                <w:szCs w:val="24"/>
              </w:rPr>
              <w:t xml:space="preserve"> </w:t>
            </w:r>
          </w:p>
        </w:tc>
        <w:tc>
          <w:tcPr>
            <w:tcW w:w="4260" w:type="dxa"/>
            <w:hideMark/>
          </w:tcPr>
          <w:p w14:paraId="00A3DF58" w14:textId="55E0C60B" w:rsidR="00BF5F95" w:rsidRPr="00BF5F95" w:rsidRDefault="00BF5F95" w:rsidP="00EA7DDA">
            <w:pPr>
              <w:pStyle w:val="TableParagraph"/>
              <w:spacing w:before="51" w:line="276" w:lineRule="auto"/>
              <w:rPr>
                <w:rFonts w:ascii="Times New Roman" w:eastAsia="Calibri" w:hAnsi="Times New Roman" w:cs="Times New Roman"/>
                <w:sz w:val="24"/>
                <w:szCs w:val="24"/>
              </w:rPr>
            </w:pPr>
            <w:r w:rsidRPr="00BF5F95">
              <w:rPr>
                <w:rFonts w:ascii="Times New Roman" w:hAnsi="Times New Roman" w:cs="Times New Roman"/>
                <w:sz w:val="24"/>
                <w:szCs w:val="24"/>
              </w:rPr>
              <w:t xml:space="preserve">       </w:t>
            </w:r>
            <w:r w:rsidRPr="00773088">
              <w:rPr>
                <w:rFonts w:ascii="Times New Roman" w:hAnsi="Times New Roman" w:cs="Times New Roman"/>
                <w:color w:val="0066CC"/>
                <w:sz w:val="24"/>
                <w:szCs w:val="24"/>
              </w:rPr>
              <w:t xml:space="preserve">  </w:t>
            </w:r>
            <w:hyperlink r:id="rId6" w:history="1">
              <w:r w:rsidR="00B006E6" w:rsidRPr="00773088">
                <w:rPr>
                  <w:rStyle w:val="Kpr"/>
                  <w:color w:val="0066CC"/>
                  <w:spacing w:val="-1"/>
                </w:rPr>
                <w:t>sob</w:t>
              </w:r>
              <w:r w:rsidR="00B006E6" w:rsidRPr="00773088">
                <w:rPr>
                  <w:rStyle w:val="Kpr"/>
                  <w:rFonts w:ascii="Times New Roman" w:hAnsi="Times New Roman" w:cs="Times New Roman"/>
                  <w:color w:val="0066CC"/>
                  <w:spacing w:val="-1"/>
                  <w:sz w:val="24"/>
                  <w:szCs w:val="24"/>
                </w:rPr>
                <w:t>e@dicle.edu.tr</w:t>
              </w:r>
            </w:hyperlink>
          </w:p>
        </w:tc>
        <w:tc>
          <w:tcPr>
            <w:tcW w:w="2490" w:type="dxa"/>
          </w:tcPr>
          <w:p w14:paraId="29BBE7A5" w14:textId="77777777" w:rsidR="00BF5F95" w:rsidRPr="00BF5F95" w:rsidRDefault="00BF5F95" w:rsidP="00EA7DDA">
            <w:pPr>
              <w:spacing w:line="276" w:lineRule="auto"/>
              <w:rPr>
                <w:rFonts w:ascii="Times New Roman" w:hAnsi="Times New Roman" w:cs="Times New Roman"/>
                <w:sz w:val="24"/>
                <w:szCs w:val="24"/>
              </w:rPr>
            </w:pPr>
          </w:p>
        </w:tc>
      </w:tr>
    </w:tbl>
    <w:p w14:paraId="60F35022" w14:textId="6696E45F" w:rsidR="00BF5F95" w:rsidRPr="00773088" w:rsidRDefault="00BF5F95" w:rsidP="00EA7DDA">
      <w:pPr>
        <w:tabs>
          <w:tab w:val="left" w:pos="2863"/>
        </w:tabs>
        <w:spacing w:before="45" w:line="276" w:lineRule="auto"/>
        <w:ind w:left="167"/>
        <w:rPr>
          <w:rFonts w:eastAsia="Times New Roman" w:cs="Times New Roman"/>
          <w:color w:val="0066CC"/>
          <w:szCs w:val="24"/>
          <w:u w:val="single"/>
        </w:rPr>
      </w:pPr>
      <w:r>
        <w:rPr>
          <w:rFonts w:cs="Times New Roman"/>
          <w:b/>
          <w:spacing w:val="-1"/>
          <w:szCs w:val="24"/>
        </w:rPr>
        <w:t xml:space="preserve">            </w:t>
      </w:r>
      <w:r w:rsidRPr="00BF5F95">
        <w:rPr>
          <w:rFonts w:cs="Times New Roman"/>
          <w:b/>
          <w:spacing w:val="-1"/>
          <w:szCs w:val="24"/>
        </w:rPr>
        <w:t xml:space="preserve">Web Adresi       </w:t>
      </w:r>
      <w:r w:rsidR="00D65276" w:rsidRPr="00773088">
        <w:rPr>
          <w:color w:val="0066CC"/>
          <w:u w:val="single"/>
        </w:rPr>
        <w:t>https://www.dicle.edu.tr/birimler/sosyal-bilimler-enstitusu</w:t>
      </w:r>
    </w:p>
    <w:p w14:paraId="65856F13" w14:textId="77777777" w:rsidR="00BF5F95" w:rsidRPr="00F10708" w:rsidRDefault="00BF5F95" w:rsidP="00EA7DDA">
      <w:pPr>
        <w:spacing w:line="276" w:lineRule="auto"/>
        <w:ind w:left="1068"/>
      </w:pPr>
    </w:p>
    <w:p w14:paraId="4E8961E3" w14:textId="7FC3133A" w:rsidR="00B37B29" w:rsidRPr="00B93226" w:rsidRDefault="00B37B29" w:rsidP="00EA7DDA">
      <w:pPr>
        <w:shd w:val="clear" w:color="auto" w:fill="FFFFFF"/>
        <w:spacing w:line="276" w:lineRule="auto"/>
        <w:jc w:val="left"/>
        <w:rPr>
          <w:rFonts w:eastAsia="Times New Roman" w:cs="Times New Roman"/>
          <w:color w:val="212529"/>
          <w:szCs w:val="24"/>
          <w:lang w:eastAsia="tr-TR"/>
        </w:rPr>
      </w:pPr>
    </w:p>
    <w:sectPr w:rsidR="00B37B29" w:rsidRPr="00B9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53"/>
    <w:multiLevelType w:val="multilevel"/>
    <w:tmpl w:val="CB0E7BD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5226900"/>
    <w:multiLevelType w:val="hybridMultilevel"/>
    <w:tmpl w:val="020E32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00493672">
    <w:abstractNumId w:val="3"/>
  </w:num>
  <w:num w:numId="2" w16cid:durableId="229197560">
    <w:abstractNumId w:val="0"/>
  </w:num>
  <w:num w:numId="3" w16cid:durableId="1876623895">
    <w:abstractNumId w:val="2"/>
  </w:num>
  <w:num w:numId="4" w16cid:durableId="175258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9"/>
    <w:rsid w:val="000204FF"/>
    <w:rsid w:val="00042D57"/>
    <w:rsid w:val="00116F85"/>
    <w:rsid w:val="001577B9"/>
    <w:rsid w:val="00186AD4"/>
    <w:rsid w:val="001A660B"/>
    <w:rsid w:val="001F1393"/>
    <w:rsid w:val="002017C5"/>
    <w:rsid w:val="00264214"/>
    <w:rsid w:val="00271FE2"/>
    <w:rsid w:val="002915E4"/>
    <w:rsid w:val="002B0757"/>
    <w:rsid w:val="002B10E0"/>
    <w:rsid w:val="002E5570"/>
    <w:rsid w:val="003037F9"/>
    <w:rsid w:val="00331934"/>
    <w:rsid w:val="00374E00"/>
    <w:rsid w:val="003D3A30"/>
    <w:rsid w:val="003F12CE"/>
    <w:rsid w:val="00403A9E"/>
    <w:rsid w:val="00451014"/>
    <w:rsid w:val="0047089E"/>
    <w:rsid w:val="004777C1"/>
    <w:rsid w:val="0048232F"/>
    <w:rsid w:val="00523DAD"/>
    <w:rsid w:val="00580CD2"/>
    <w:rsid w:val="005C6732"/>
    <w:rsid w:val="005F6524"/>
    <w:rsid w:val="00600EED"/>
    <w:rsid w:val="00605815"/>
    <w:rsid w:val="0061675B"/>
    <w:rsid w:val="00630B10"/>
    <w:rsid w:val="0064750A"/>
    <w:rsid w:val="006654AE"/>
    <w:rsid w:val="006934FE"/>
    <w:rsid w:val="006A59DE"/>
    <w:rsid w:val="006D62A0"/>
    <w:rsid w:val="006E27F0"/>
    <w:rsid w:val="006F1576"/>
    <w:rsid w:val="006F49B7"/>
    <w:rsid w:val="00740805"/>
    <w:rsid w:val="007507F6"/>
    <w:rsid w:val="00773088"/>
    <w:rsid w:val="00784C4A"/>
    <w:rsid w:val="007A2856"/>
    <w:rsid w:val="007B4E9D"/>
    <w:rsid w:val="007C0119"/>
    <w:rsid w:val="007D6849"/>
    <w:rsid w:val="00832854"/>
    <w:rsid w:val="008523CC"/>
    <w:rsid w:val="008606FA"/>
    <w:rsid w:val="00863C27"/>
    <w:rsid w:val="00865769"/>
    <w:rsid w:val="008C1479"/>
    <w:rsid w:val="009335FC"/>
    <w:rsid w:val="0098360F"/>
    <w:rsid w:val="0099274C"/>
    <w:rsid w:val="009A3B81"/>
    <w:rsid w:val="009D73CA"/>
    <w:rsid w:val="00A30A08"/>
    <w:rsid w:val="00A72907"/>
    <w:rsid w:val="00AD732C"/>
    <w:rsid w:val="00B006E6"/>
    <w:rsid w:val="00B37B29"/>
    <w:rsid w:val="00B40CA9"/>
    <w:rsid w:val="00B65AEE"/>
    <w:rsid w:val="00B833E3"/>
    <w:rsid w:val="00B93226"/>
    <w:rsid w:val="00B95A45"/>
    <w:rsid w:val="00BB2CA9"/>
    <w:rsid w:val="00BC086D"/>
    <w:rsid w:val="00BE4754"/>
    <w:rsid w:val="00BF5F95"/>
    <w:rsid w:val="00C53A62"/>
    <w:rsid w:val="00C6425A"/>
    <w:rsid w:val="00C700D3"/>
    <w:rsid w:val="00C802C0"/>
    <w:rsid w:val="00C82B25"/>
    <w:rsid w:val="00C834A3"/>
    <w:rsid w:val="00C906B4"/>
    <w:rsid w:val="00CA4272"/>
    <w:rsid w:val="00CE7343"/>
    <w:rsid w:val="00D553B9"/>
    <w:rsid w:val="00D65276"/>
    <w:rsid w:val="00D65E66"/>
    <w:rsid w:val="00D676E6"/>
    <w:rsid w:val="00D67ABC"/>
    <w:rsid w:val="00D716DF"/>
    <w:rsid w:val="00D76564"/>
    <w:rsid w:val="00DA36C2"/>
    <w:rsid w:val="00DA67E4"/>
    <w:rsid w:val="00DE4FD0"/>
    <w:rsid w:val="00DF6CA7"/>
    <w:rsid w:val="00E330AF"/>
    <w:rsid w:val="00E643E4"/>
    <w:rsid w:val="00E65F4E"/>
    <w:rsid w:val="00E77566"/>
    <w:rsid w:val="00E860E4"/>
    <w:rsid w:val="00EA7DDA"/>
    <w:rsid w:val="00EB5EE3"/>
    <w:rsid w:val="00ED4FD4"/>
    <w:rsid w:val="00EF1DAD"/>
    <w:rsid w:val="00EF3CFE"/>
    <w:rsid w:val="00F10708"/>
    <w:rsid w:val="00F60ABC"/>
    <w:rsid w:val="00F85115"/>
    <w:rsid w:val="00F911AD"/>
    <w:rsid w:val="00F9729F"/>
    <w:rsid w:val="00FA65ED"/>
    <w:rsid w:val="00FE3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63B"/>
  <w15:chartTrackingRefBased/>
  <w15:docId w15:val="{4B7953E1-FD89-44EE-8810-48893B3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color w:val="000000" w:themeColor="text1"/>
        <w:sz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06FA"/>
    <w:rPr>
      <w:color w:val="0000FF"/>
      <w:u w:val="single"/>
    </w:rPr>
  </w:style>
  <w:style w:type="paragraph" w:styleId="ListeParagraf">
    <w:name w:val="List Paragraph"/>
    <w:basedOn w:val="Normal"/>
    <w:uiPriority w:val="34"/>
    <w:qFormat/>
    <w:rsid w:val="007A2856"/>
    <w:pPr>
      <w:ind w:left="720"/>
      <w:contextualSpacing/>
    </w:pPr>
  </w:style>
  <w:style w:type="character" w:customStyle="1" w:styleId="spelle">
    <w:name w:val="spelle"/>
    <w:basedOn w:val="VarsaylanParagrafYazTipi"/>
    <w:rsid w:val="00DE4FD0"/>
  </w:style>
  <w:style w:type="paragraph" w:customStyle="1" w:styleId="TableParagraph">
    <w:name w:val="Table Paragraph"/>
    <w:basedOn w:val="Normal"/>
    <w:uiPriority w:val="1"/>
    <w:qFormat/>
    <w:rsid w:val="00BF5F95"/>
    <w:pPr>
      <w:widowControl w:val="0"/>
      <w:jc w:val="left"/>
    </w:pPr>
    <w:rPr>
      <w:rFonts w:asciiTheme="minorHAnsi" w:hAnsiTheme="minorHAnsi" w:cstheme="minorBidi"/>
      <w:color w:val="auto"/>
      <w:sz w:val="22"/>
      <w:szCs w:val="22"/>
      <w:lang w:val="en-US"/>
    </w:rPr>
  </w:style>
  <w:style w:type="table" w:customStyle="1" w:styleId="TableNormal">
    <w:name w:val="Table Normal"/>
    <w:uiPriority w:val="2"/>
    <w:semiHidden/>
    <w:qFormat/>
    <w:rsid w:val="00BF5F95"/>
    <w:pPr>
      <w:widowControl w:val="0"/>
      <w:jc w:val="left"/>
    </w:pPr>
    <w:rPr>
      <w:rFonts w:asciiTheme="minorHAnsi" w:hAnsiTheme="minorHAnsi" w:cstheme="minorBidi"/>
      <w:color w:val="auto"/>
      <w:sz w:val="22"/>
      <w:szCs w:val="22"/>
      <w:lang w:val="en-US"/>
    </w:rPr>
    <w:tblPr>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F9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4911">
      <w:bodyDiv w:val="1"/>
      <w:marLeft w:val="0"/>
      <w:marRight w:val="0"/>
      <w:marTop w:val="0"/>
      <w:marBottom w:val="0"/>
      <w:divBdr>
        <w:top w:val="none" w:sz="0" w:space="0" w:color="auto"/>
        <w:left w:val="none" w:sz="0" w:space="0" w:color="auto"/>
        <w:bottom w:val="none" w:sz="0" w:space="0" w:color="auto"/>
        <w:right w:val="none" w:sz="0" w:space="0" w:color="auto"/>
      </w:divBdr>
    </w:div>
    <w:div w:id="1366832699">
      <w:bodyDiv w:val="1"/>
      <w:marLeft w:val="0"/>
      <w:marRight w:val="0"/>
      <w:marTop w:val="0"/>
      <w:marBottom w:val="0"/>
      <w:divBdr>
        <w:top w:val="none" w:sz="0" w:space="0" w:color="auto"/>
        <w:left w:val="none" w:sz="0" w:space="0" w:color="auto"/>
        <w:bottom w:val="none" w:sz="0" w:space="0" w:color="auto"/>
        <w:right w:val="none" w:sz="0" w:space="0" w:color="auto"/>
      </w:divBdr>
    </w:div>
    <w:div w:id="18987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be@dicle.edu.tr" TargetMode="External"/><Relationship Id="rId5" Type="http://schemas.openxmlformats.org/officeDocument/2006/relationships/hyperlink" Target="http://www.dicle.edu.tr/Contents/Announcements/Files/0d4a4077-ecab-474d-9c06-a50dfa72ad00/fd9a1aa159a1431aa250408a108da7a0_L%c4%b0SANS%c3%9cST%c3%9c%20TEZ%20%c3%96D%c3%9cLLER%c4%b0%20Y%c3%96NERGES%c4%b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1025</Words>
  <Characters>5844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TAVUKÇU</dc:creator>
  <cp:keywords/>
  <dc:description/>
  <cp:lastModifiedBy>İbrahim Tavukçu</cp:lastModifiedBy>
  <cp:revision>52</cp:revision>
  <dcterms:created xsi:type="dcterms:W3CDTF">2023-03-26T20:13:00Z</dcterms:created>
  <dcterms:modified xsi:type="dcterms:W3CDTF">2025-09-04T09:37:00Z</dcterms:modified>
</cp:coreProperties>
</file>