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616"/>
        <w:tblW w:w="11307" w:type="dxa"/>
        <w:tblLook w:val="04A0" w:firstRow="1" w:lastRow="0" w:firstColumn="1" w:lastColumn="0" w:noHBand="0" w:noVBand="1"/>
      </w:tblPr>
      <w:tblGrid>
        <w:gridCol w:w="5015"/>
        <w:gridCol w:w="30"/>
        <w:gridCol w:w="6262"/>
      </w:tblGrid>
      <w:tr w:rsidR="0085558C" w:rsidRPr="00A757DB" w14:paraId="6A8F3F20" w14:textId="77777777" w:rsidTr="0085558C">
        <w:trPr>
          <w:trHeight w:val="247"/>
        </w:trPr>
        <w:tc>
          <w:tcPr>
            <w:tcW w:w="11307" w:type="dxa"/>
            <w:gridSpan w:val="3"/>
            <w:tcBorders>
              <w:top w:val="single" w:sz="4" w:space="0" w:color="auto"/>
              <w:left w:val="single" w:sz="4" w:space="0" w:color="auto"/>
              <w:bottom w:val="single" w:sz="4" w:space="0" w:color="auto"/>
              <w:right w:val="single" w:sz="4" w:space="0" w:color="auto"/>
            </w:tcBorders>
          </w:tcPr>
          <w:p w14:paraId="1FCBB23F" w14:textId="2CF1529A" w:rsidR="0085558C" w:rsidRDefault="0085558C" w:rsidP="002B691D">
            <w:pPr>
              <w:adjustRightInd w:val="0"/>
              <w:jc w:val="center"/>
              <w:rPr>
                <w:b/>
                <w:bCs/>
              </w:rPr>
            </w:pPr>
            <w:bookmarkStart w:id="0" w:name="_Hlk168494790"/>
            <w:r w:rsidRPr="00A757DB">
              <w:rPr>
                <w:b/>
                <w:bCs/>
              </w:rPr>
              <w:t>DİCLE ÜNİVERSİTESİ</w:t>
            </w:r>
          </w:p>
          <w:p w14:paraId="40FA97DD" w14:textId="1EEE3322" w:rsidR="001E251E" w:rsidRPr="00A757DB" w:rsidRDefault="001E251E" w:rsidP="002B691D">
            <w:pPr>
              <w:adjustRightInd w:val="0"/>
              <w:jc w:val="center"/>
              <w:rPr>
                <w:b/>
                <w:bCs/>
              </w:rPr>
            </w:pPr>
            <w:r>
              <w:rPr>
                <w:b/>
                <w:bCs/>
              </w:rPr>
              <w:t>SOSYAL BİLİMLER ENSTİTÜSÜ</w:t>
            </w:r>
          </w:p>
          <w:p w14:paraId="6481EAFC" w14:textId="77777777" w:rsidR="0085558C" w:rsidRPr="00A757DB" w:rsidRDefault="0085558C" w:rsidP="002B691D">
            <w:pPr>
              <w:adjustRightInd w:val="0"/>
              <w:jc w:val="center"/>
              <w:rPr>
                <w:b/>
                <w:bCs/>
              </w:rPr>
            </w:pPr>
            <w:r w:rsidRPr="00A757DB">
              <w:rPr>
                <w:b/>
                <w:bCs/>
              </w:rPr>
              <w:t xml:space="preserve">2024-2025 EĞİTİM-ÖĞRETİM YILI GÜZ YARIYILI </w:t>
            </w:r>
          </w:p>
          <w:p w14:paraId="6720A60D" w14:textId="77777777" w:rsidR="0085558C" w:rsidRPr="00A757DB" w:rsidRDefault="0085558C" w:rsidP="002B691D">
            <w:pPr>
              <w:adjustRightInd w:val="0"/>
              <w:jc w:val="center"/>
              <w:rPr>
                <w:b/>
                <w:bCs/>
              </w:rPr>
            </w:pPr>
            <w:r w:rsidRPr="00A757DB">
              <w:rPr>
                <w:b/>
                <w:bCs/>
              </w:rPr>
              <w:t>LİSANSÜSTÜ ÖĞRENCİ ALIM</w:t>
            </w:r>
            <w:r>
              <w:rPr>
                <w:b/>
                <w:bCs/>
              </w:rPr>
              <w:t xml:space="preserve"> İLANI</w:t>
            </w:r>
          </w:p>
        </w:tc>
      </w:tr>
      <w:tr w:rsidR="0085558C" w:rsidRPr="00A757DB" w14:paraId="7E769294" w14:textId="77777777" w:rsidTr="0085558C">
        <w:trPr>
          <w:trHeight w:val="247"/>
        </w:trPr>
        <w:tc>
          <w:tcPr>
            <w:tcW w:w="11307" w:type="dxa"/>
            <w:gridSpan w:val="3"/>
            <w:tcBorders>
              <w:top w:val="single" w:sz="4" w:space="0" w:color="auto"/>
              <w:left w:val="single" w:sz="4" w:space="0" w:color="auto"/>
              <w:bottom w:val="single" w:sz="4" w:space="0" w:color="auto"/>
              <w:right w:val="single" w:sz="4" w:space="0" w:color="auto"/>
            </w:tcBorders>
            <w:hideMark/>
          </w:tcPr>
          <w:p w14:paraId="147598E0" w14:textId="77777777" w:rsidR="0085558C" w:rsidRPr="009E3D54" w:rsidRDefault="0085558C" w:rsidP="002B691D">
            <w:pPr>
              <w:adjustRightInd w:val="0"/>
              <w:jc w:val="center"/>
              <w:rPr>
                <w:b/>
                <w:bCs/>
                <w:highlight w:val="yellow"/>
                <w:lang w:eastAsia="en-US"/>
              </w:rPr>
            </w:pPr>
            <w:r>
              <w:rPr>
                <w:b/>
                <w:bCs/>
                <w:highlight w:val="yellow"/>
                <w:lang w:eastAsia="en-US"/>
              </w:rPr>
              <w:t>I</w:t>
            </w:r>
            <w:r w:rsidRPr="009E3D54">
              <w:rPr>
                <w:b/>
                <w:bCs/>
                <w:highlight w:val="yellow"/>
                <w:lang w:eastAsia="en-US"/>
              </w:rPr>
              <w:t>-BAŞVURULAR</w:t>
            </w:r>
          </w:p>
        </w:tc>
      </w:tr>
      <w:tr w:rsidR="0085558C" w:rsidRPr="00A757DB" w14:paraId="3C28D6A9" w14:textId="77777777" w:rsidTr="0085558C">
        <w:trPr>
          <w:trHeight w:val="467"/>
        </w:trPr>
        <w:tc>
          <w:tcPr>
            <w:tcW w:w="5045" w:type="dxa"/>
            <w:gridSpan w:val="2"/>
            <w:tcBorders>
              <w:top w:val="single" w:sz="4" w:space="0" w:color="auto"/>
              <w:left w:val="single" w:sz="4" w:space="0" w:color="auto"/>
              <w:bottom w:val="single" w:sz="4" w:space="0" w:color="auto"/>
              <w:right w:val="single" w:sz="4" w:space="0" w:color="auto"/>
            </w:tcBorders>
          </w:tcPr>
          <w:p w14:paraId="25E2235D" w14:textId="77777777" w:rsidR="0085558C" w:rsidRPr="00A757DB" w:rsidRDefault="0085558C" w:rsidP="002B691D">
            <w:pPr>
              <w:adjustRightInd w:val="0"/>
              <w:jc w:val="center"/>
              <w:rPr>
                <w:b/>
                <w:bCs/>
                <w:lang w:eastAsia="en-US"/>
              </w:rPr>
            </w:pPr>
            <w:r w:rsidRPr="00A757DB">
              <w:rPr>
                <w:b/>
                <w:bCs/>
                <w:lang w:eastAsia="en-US"/>
              </w:rPr>
              <w:t>Başlama :</w:t>
            </w:r>
            <w:r>
              <w:rPr>
                <w:b/>
                <w:bCs/>
                <w:color w:val="FF0000"/>
                <w:lang w:eastAsia="en-US"/>
              </w:rPr>
              <w:t>13 Ocak 2025</w:t>
            </w:r>
          </w:p>
        </w:tc>
        <w:tc>
          <w:tcPr>
            <w:tcW w:w="6262" w:type="dxa"/>
            <w:tcBorders>
              <w:top w:val="single" w:sz="4" w:space="0" w:color="auto"/>
              <w:left w:val="single" w:sz="4" w:space="0" w:color="auto"/>
              <w:bottom w:val="single" w:sz="4" w:space="0" w:color="auto"/>
              <w:right w:val="single" w:sz="4" w:space="0" w:color="auto"/>
            </w:tcBorders>
          </w:tcPr>
          <w:p w14:paraId="6F737A54" w14:textId="77777777" w:rsidR="0085558C" w:rsidRPr="00A757DB" w:rsidRDefault="0085558C" w:rsidP="002B691D">
            <w:pPr>
              <w:adjustRightInd w:val="0"/>
              <w:jc w:val="center"/>
              <w:rPr>
                <w:b/>
                <w:bCs/>
                <w:lang w:eastAsia="en-US"/>
              </w:rPr>
            </w:pPr>
            <w:r w:rsidRPr="00A757DB">
              <w:rPr>
                <w:b/>
                <w:bCs/>
                <w:lang w:eastAsia="en-US"/>
              </w:rPr>
              <w:t>Bitiş:</w:t>
            </w:r>
            <w:r>
              <w:rPr>
                <w:b/>
                <w:bCs/>
                <w:lang w:eastAsia="en-US"/>
              </w:rPr>
              <w:t xml:space="preserve"> </w:t>
            </w:r>
            <w:r w:rsidRPr="00FC4EE0">
              <w:rPr>
                <w:b/>
                <w:bCs/>
                <w:color w:val="FF0000"/>
                <w:lang w:eastAsia="en-US"/>
              </w:rPr>
              <w:t>1</w:t>
            </w:r>
            <w:r>
              <w:rPr>
                <w:b/>
                <w:bCs/>
                <w:color w:val="FF0000"/>
                <w:lang w:eastAsia="en-US"/>
              </w:rPr>
              <w:t xml:space="preserve">5 Ocak </w:t>
            </w:r>
            <w:r w:rsidRPr="00A757DB">
              <w:rPr>
                <w:b/>
                <w:bCs/>
                <w:color w:val="FF0000"/>
                <w:lang w:eastAsia="en-US"/>
              </w:rPr>
              <w:t>202</w:t>
            </w:r>
            <w:r>
              <w:rPr>
                <w:b/>
                <w:bCs/>
                <w:color w:val="FF0000"/>
                <w:lang w:eastAsia="en-US"/>
              </w:rPr>
              <w:t>5</w:t>
            </w:r>
            <w:r w:rsidRPr="00A757DB">
              <w:rPr>
                <w:b/>
                <w:bCs/>
                <w:color w:val="FF0000"/>
                <w:lang w:eastAsia="en-US"/>
              </w:rPr>
              <w:t xml:space="preserve"> (23:59)</w:t>
            </w:r>
          </w:p>
        </w:tc>
      </w:tr>
      <w:tr w:rsidR="0085558C" w:rsidRPr="00A757DB" w14:paraId="2EC72D6F" w14:textId="77777777" w:rsidTr="0085558C">
        <w:trPr>
          <w:trHeight w:val="247"/>
        </w:trPr>
        <w:tc>
          <w:tcPr>
            <w:tcW w:w="11307" w:type="dxa"/>
            <w:gridSpan w:val="3"/>
            <w:tcBorders>
              <w:top w:val="single" w:sz="4" w:space="0" w:color="auto"/>
              <w:left w:val="single" w:sz="4" w:space="0" w:color="auto"/>
              <w:bottom w:val="single" w:sz="4" w:space="0" w:color="auto"/>
              <w:right w:val="single" w:sz="4" w:space="0" w:color="auto"/>
            </w:tcBorders>
            <w:hideMark/>
          </w:tcPr>
          <w:p w14:paraId="05BFEBD6" w14:textId="77777777" w:rsidR="0085558C" w:rsidRPr="00A757DB" w:rsidRDefault="0085558C" w:rsidP="002B691D">
            <w:pPr>
              <w:adjustRightInd w:val="0"/>
              <w:jc w:val="center"/>
              <w:rPr>
                <w:bCs/>
                <w:lang w:eastAsia="en-US"/>
              </w:rPr>
            </w:pPr>
            <w:r w:rsidRPr="00A757DB">
              <w:rPr>
                <w:bCs/>
                <w:lang w:eastAsia="en-US"/>
              </w:rPr>
              <w:t>Adayların, başvuru sürecinde sürekli olarak başvuru sayfalarını kontrol etmeleri gerekmektedir.</w:t>
            </w:r>
          </w:p>
        </w:tc>
      </w:tr>
      <w:tr w:rsidR="0085558C" w:rsidRPr="00A757DB" w14:paraId="02C2E2CF" w14:textId="77777777" w:rsidTr="0085558C">
        <w:trPr>
          <w:trHeight w:val="312"/>
        </w:trPr>
        <w:tc>
          <w:tcPr>
            <w:tcW w:w="11307" w:type="dxa"/>
            <w:gridSpan w:val="3"/>
            <w:tcBorders>
              <w:top w:val="single" w:sz="4" w:space="0" w:color="auto"/>
              <w:left w:val="single" w:sz="4" w:space="0" w:color="auto"/>
              <w:bottom w:val="single" w:sz="4" w:space="0" w:color="auto"/>
              <w:right w:val="single" w:sz="4" w:space="0" w:color="auto"/>
            </w:tcBorders>
            <w:hideMark/>
          </w:tcPr>
          <w:p w14:paraId="2A26DA1C" w14:textId="77777777" w:rsidR="0085558C" w:rsidRDefault="0085558C" w:rsidP="002B691D">
            <w:pPr>
              <w:adjustRightInd w:val="0"/>
              <w:jc w:val="center"/>
              <w:rPr>
                <w:lang w:eastAsia="en-US"/>
              </w:rPr>
            </w:pPr>
            <w:r w:rsidRPr="00A757DB">
              <w:rPr>
                <w:lang w:eastAsia="en-US"/>
              </w:rPr>
              <w:t xml:space="preserve">Başvuru </w:t>
            </w:r>
            <w:r>
              <w:rPr>
                <w:lang w:eastAsia="en-US"/>
              </w:rPr>
              <w:t xml:space="preserve">ve kesin kayıt </w:t>
            </w:r>
            <w:r w:rsidRPr="00A757DB">
              <w:rPr>
                <w:lang w:eastAsia="en-US"/>
              </w:rPr>
              <w:t xml:space="preserve">linki: </w:t>
            </w:r>
          </w:p>
          <w:p w14:paraId="2F8A3565" w14:textId="77777777" w:rsidR="0085558C" w:rsidRDefault="00C62531" w:rsidP="002B691D">
            <w:pPr>
              <w:adjustRightInd w:val="0"/>
              <w:jc w:val="center"/>
              <w:rPr>
                <w:rStyle w:val="Kpr"/>
                <w:lang w:eastAsia="en-US"/>
              </w:rPr>
            </w:pPr>
            <w:hyperlink r:id="rId7" w:history="1">
              <w:r w:rsidR="0085558C" w:rsidRPr="00211CCD">
                <w:rPr>
                  <w:rStyle w:val="Kpr"/>
                  <w:lang w:eastAsia="en-US"/>
                </w:rPr>
                <w:t>https://obs.dicle.edu.tr/oibs/ina_app/login.aspx</w:t>
              </w:r>
            </w:hyperlink>
          </w:p>
          <w:p w14:paraId="642F39A2" w14:textId="77777777" w:rsidR="0085558C" w:rsidRPr="00A757DB" w:rsidRDefault="0085558C" w:rsidP="002B691D">
            <w:pPr>
              <w:adjustRightInd w:val="0"/>
              <w:jc w:val="center"/>
              <w:rPr>
                <w:u w:val="single"/>
                <w:lang w:eastAsia="en-US"/>
              </w:rPr>
            </w:pPr>
            <w:r w:rsidRPr="00462562">
              <w:rPr>
                <w:bCs/>
                <w:lang w:eastAsia="en-US"/>
              </w:rPr>
              <w:t>(Kesin Kayıt İşlemleri de OBS Üzerinden Online Olarak Alınacaktır)</w:t>
            </w:r>
          </w:p>
        </w:tc>
      </w:tr>
      <w:tr w:rsidR="0085558C" w:rsidRPr="00A757DB" w14:paraId="77645118" w14:textId="77777777" w:rsidTr="0085558C">
        <w:trPr>
          <w:trHeight w:val="305"/>
        </w:trPr>
        <w:tc>
          <w:tcPr>
            <w:tcW w:w="11307" w:type="dxa"/>
            <w:gridSpan w:val="3"/>
            <w:tcBorders>
              <w:top w:val="single" w:sz="4" w:space="0" w:color="auto"/>
              <w:left w:val="single" w:sz="4" w:space="0" w:color="auto"/>
              <w:bottom w:val="single" w:sz="4" w:space="0" w:color="auto"/>
              <w:right w:val="single" w:sz="4" w:space="0" w:color="auto"/>
            </w:tcBorders>
            <w:hideMark/>
          </w:tcPr>
          <w:p w14:paraId="0983C258" w14:textId="77777777" w:rsidR="0085558C" w:rsidRDefault="0085558C" w:rsidP="002B691D">
            <w:pPr>
              <w:adjustRightInd w:val="0"/>
              <w:jc w:val="center"/>
              <w:rPr>
                <w:b/>
                <w:highlight w:val="yellow"/>
                <w:lang w:eastAsia="en-US"/>
              </w:rPr>
            </w:pPr>
            <w:r>
              <w:rPr>
                <w:b/>
                <w:highlight w:val="yellow"/>
                <w:lang w:eastAsia="en-US"/>
              </w:rPr>
              <w:t>II</w:t>
            </w:r>
            <w:r w:rsidRPr="009E3D54">
              <w:rPr>
                <w:b/>
                <w:highlight w:val="yellow"/>
                <w:lang w:eastAsia="en-US"/>
              </w:rPr>
              <w:t>-SONUÇLARIN BAŞVURU SİSTEMİNDEN</w:t>
            </w:r>
            <w:r>
              <w:rPr>
                <w:b/>
                <w:highlight w:val="yellow"/>
                <w:lang w:eastAsia="en-US"/>
              </w:rPr>
              <w:t xml:space="preserve"> </w:t>
            </w:r>
            <w:r w:rsidRPr="009E3D54">
              <w:rPr>
                <w:b/>
                <w:highlight w:val="yellow"/>
                <w:lang w:eastAsia="en-US"/>
              </w:rPr>
              <w:t>İLAN EDİLMESİ</w:t>
            </w:r>
          </w:p>
          <w:p w14:paraId="1EC364B8" w14:textId="77777777" w:rsidR="0085558C" w:rsidRPr="00462562" w:rsidRDefault="0085558C" w:rsidP="002B691D">
            <w:pPr>
              <w:adjustRightInd w:val="0"/>
              <w:jc w:val="center"/>
              <w:rPr>
                <w:b/>
                <w:lang w:eastAsia="en-US"/>
              </w:rPr>
            </w:pPr>
            <w:r w:rsidRPr="00462562">
              <w:rPr>
                <w:b/>
                <w:lang w:eastAsia="en-US"/>
              </w:rPr>
              <w:t>(Aday, sonucunu başvuru yaptığı sistemden görebilir</w:t>
            </w:r>
            <w:r>
              <w:rPr>
                <w:b/>
                <w:lang w:eastAsia="en-US"/>
              </w:rPr>
              <w:t>, sonuçlar ayrıca ilan edilmeyecektir.</w:t>
            </w:r>
            <w:r w:rsidRPr="00462562">
              <w:rPr>
                <w:b/>
                <w:lang w:eastAsia="en-US"/>
              </w:rPr>
              <w:t>)</w:t>
            </w:r>
          </w:p>
          <w:p w14:paraId="48FB9A89" w14:textId="77777777" w:rsidR="0085558C" w:rsidRPr="00A757DB" w:rsidRDefault="0085558C" w:rsidP="002B691D">
            <w:pPr>
              <w:adjustRightInd w:val="0"/>
              <w:jc w:val="center"/>
              <w:rPr>
                <w:b/>
                <w:color w:val="FF0000"/>
                <w:lang w:eastAsia="en-US"/>
              </w:rPr>
            </w:pPr>
            <w:r>
              <w:rPr>
                <w:b/>
                <w:color w:val="FF0000"/>
                <w:lang w:eastAsia="en-US"/>
              </w:rPr>
              <w:t>17 Ocak 2025</w:t>
            </w:r>
          </w:p>
        </w:tc>
      </w:tr>
      <w:tr w:rsidR="0085558C" w:rsidRPr="00A757DB" w14:paraId="2480133D" w14:textId="77777777" w:rsidTr="0085558C">
        <w:trPr>
          <w:trHeight w:val="286"/>
        </w:trPr>
        <w:tc>
          <w:tcPr>
            <w:tcW w:w="11307" w:type="dxa"/>
            <w:gridSpan w:val="3"/>
            <w:tcBorders>
              <w:top w:val="single" w:sz="4" w:space="0" w:color="auto"/>
              <w:left w:val="single" w:sz="4" w:space="0" w:color="auto"/>
              <w:bottom w:val="single" w:sz="4" w:space="0" w:color="auto"/>
              <w:right w:val="single" w:sz="4" w:space="0" w:color="auto"/>
            </w:tcBorders>
            <w:hideMark/>
          </w:tcPr>
          <w:p w14:paraId="5E880DA3" w14:textId="77777777" w:rsidR="0085558C" w:rsidRPr="009E3D54" w:rsidRDefault="0085558C" w:rsidP="002B691D">
            <w:pPr>
              <w:adjustRightInd w:val="0"/>
              <w:jc w:val="center"/>
              <w:rPr>
                <w:b/>
                <w:bCs/>
                <w:highlight w:val="yellow"/>
                <w:lang w:eastAsia="en-US"/>
              </w:rPr>
            </w:pPr>
            <w:r>
              <w:rPr>
                <w:b/>
                <w:bCs/>
                <w:highlight w:val="yellow"/>
                <w:lang w:eastAsia="en-US"/>
              </w:rPr>
              <w:t>III</w:t>
            </w:r>
            <w:r w:rsidRPr="009E3D54">
              <w:rPr>
                <w:b/>
                <w:bCs/>
                <w:highlight w:val="yellow"/>
                <w:lang w:eastAsia="en-US"/>
              </w:rPr>
              <w:t>-BİRİNCİ DEĞERLENDİRME SONUCUNDA KAYIT HAKKI KAZANANLARIN KAYIT TARİHLERİ</w:t>
            </w:r>
          </w:p>
        </w:tc>
      </w:tr>
      <w:tr w:rsidR="0085558C" w:rsidRPr="00A757DB" w14:paraId="0C925FC9" w14:textId="77777777" w:rsidTr="0085558C">
        <w:trPr>
          <w:trHeight w:val="383"/>
        </w:trPr>
        <w:tc>
          <w:tcPr>
            <w:tcW w:w="5015" w:type="dxa"/>
            <w:tcBorders>
              <w:top w:val="single" w:sz="4" w:space="0" w:color="auto"/>
              <w:left w:val="single" w:sz="4" w:space="0" w:color="auto"/>
              <w:bottom w:val="single" w:sz="4" w:space="0" w:color="auto"/>
              <w:right w:val="single" w:sz="4" w:space="0" w:color="auto"/>
            </w:tcBorders>
          </w:tcPr>
          <w:p w14:paraId="606EC9A6" w14:textId="77777777" w:rsidR="0085558C" w:rsidRPr="00A757DB" w:rsidRDefault="0085558C" w:rsidP="002B691D">
            <w:pPr>
              <w:adjustRightInd w:val="0"/>
              <w:jc w:val="center"/>
              <w:rPr>
                <w:b/>
                <w:bCs/>
                <w:lang w:eastAsia="en-US"/>
              </w:rPr>
            </w:pPr>
            <w:r w:rsidRPr="00A757DB">
              <w:rPr>
                <w:b/>
                <w:bCs/>
                <w:lang w:eastAsia="en-US"/>
              </w:rPr>
              <w:t xml:space="preserve">Başlama: </w:t>
            </w:r>
            <w:r w:rsidRPr="00FC4EE0">
              <w:rPr>
                <w:b/>
                <w:bCs/>
                <w:color w:val="FF0000"/>
                <w:lang w:eastAsia="en-US"/>
              </w:rPr>
              <w:t xml:space="preserve"> </w:t>
            </w:r>
            <w:r>
              <w:rPr>
                <w:b/>
                <w:bCs/>
                <w:color w:val="FF0000"/>
                <w:lang w:eastAsia="en-US"/>
              </w:rPr>
              <w:t>20 Ocak 2025</w:t>
            </w:r>
            <w:r w:rsidRPr="00FC4EE0">
              <w:rPr>
                <w:b/>
                <w:bCs/>
                <w:color w:val="FF0000"/>
                <w:lang w:eastAsia="en-US"/>
              </w:rPr>
              <w:t xml:space="preserve"> (09.00)</w:t>
            </w:r>
          </w:p>
        </w:tc>
        <w:tc>
          <w:tcPr>
            <w:tcW w:w="6292" w:type="dxa"/>
            <w:gridSpan w:val="2"/>
            <w:tcBorders>
              <w:top w:val="single" w:sz="4" w:space="0" w:color="auto"/>
              <w:left w:val="single" w:sz="4" w:space="0" w:color="auto"/>
              <w:bottom w:val="single" w:sz="4" w:space="0" w:color="auto"/>
              <w:right w:val="single" w:sz="4" w:space="0" w:color="auto"/>
            </w:tcBorders>
          </w:tcPr>
          <w:p w14:paraId="153AD1E1" w14:textId="77777777" w:rsidR="0085558C" w:rsidRPr="00A757DB" w:rsidRDefault="0085558C" w:rsidP="002B691D">
            <w:pPr>
              <w:adjustRightInd w:val="0"/>
              <w:jc w:val="center"/>
              <w:rPr>
                <w:b/>
                <w:bCs/>
                <w:lang w:eastAsia="en-US"/>
              </w:rPr>
            </w:pPr>
            <w:r w:rsidRPr="00A757DB">
              <w:rPr>
                <w:b/>
                <w:bCs/>
                <w:lang w:eastAsia="en-US"/>
              </w:rPr>
              <w:t>Bitiş:</w:t>
            </w:r>
            <w:r>
              <w:rPr>
                <w:b/>
                <w:bCs/>
                <w:lang w:eastAsia="en-US"/>
              </w:rPr>
              <w:t xml:space="preserve"> </w:t>
            </w:r>
            <w:r w:rsidRPr="00FC4EE0">
              <w:rPr>
                <w:b/>
                <w:bCs/>
                <w:color w:val="FF0000"/>
                <w:lang w:eastAsia="en-US"/>
              </w:rPr>
              <w:t xml:space="preserve"> </w:t>
            </w:r>
            <w:r>
              <w:rPr>
                <w:b/>
                <w:bCs/>
                <w:color w:val="FF0000"/>
                <w:lang w:eastAsia="en-US"/>
              </w:rPr>
              <w:t>21 Ocak 2025 (23:59)</w:t>
            </w:r>
          </w:p>
        </w:tc>
      </w:tr>
      <w:tr w:rsidR="0085558C" w:rsidRPr="00A757DB" w14:paraId="25AD3204" w14:textId="77777777" w:rsidTr="0085558C">
        <w:trPr>
          <w:trHeight w:val="286"/>
        </w:trPr>
        <w:tc>
          <w:tcPr>
            <w:tcW w:w="11307" w:type="dxa"/>
            <w:gridSpan w:val="3"/>
            <w:tcBorders>
              <w:top w:val="single" w:sz="4" w:space="0" w:color="auto"/>
              <w:left w:val="single" w:sz="4" w:space="0" w:color="auto"/>
              <w:bottom w:val="single" w:sz="4" w:space="0" w:color="auto"/>
              <w:right w:val="single" w:sz="4" w:space="0" w:color="auto"/>
            </w:tcBorders>
            <w:hideMark/>
          </w:tcPr>
          <w:p w14:paraId="66715A97" w14:textId="77777777" w:rsidR="0085558C" w:rsidRPr="00A757DB" w:rsidRDefault="0085558C" w:rsidP="002B691D">
            <w:pPr>
              <w:adjustRightInd w:val="0"/>
              <w:jc w:val="center"/>
              <w:rPr>
                <w:b/>
                <w:bCs/>
                <w:lang w:eastAsia="en-US"/>
              </w:rPr>
            </w:pPr>
            <w:r w:rsidRPr="005641C4">
              <w:rPr>
                <w:b/>
                <w:bCs/>
                <w:highlight w:val="yellow"/>
                <w:lang w:eastAsia="en-US"/>
              </w:rPr>
              <w:t>IV-İKİNCİ DEĞERLENDİRME SONUCUNDA YERLEŞTİRME</w:t>
            </w:r>
          </w:p>
        </w:tc>
      </w:tr>
      <w:tr w:rsidR="0085558C" w:rsidRPr="005641C4" w14:paraId="2D216CDF" w14:textId="77777777" w:rsidTr="0085558C">
        <w:trPr>
          <w:trHeight w:val="382"/>
        </w:trPr>
        <w:tc>
          <w:tcPr>
            <w:tcW w:w="11307" w:type="dxa"/>
            <w:gridSpan w:val="3"/>
            <w:tcBorders>
              <w:top w:val="single" w:sz="4" w:space="0" w:color="auto"/>
              <w:left w:val="single" w:sz="4" w:space="0" w:color="auto"/>
              <w:bottom w:val="single" w:sz="4" w:space="0" w:color="auto"/>
              <w:right w:val="single" w:sz="4" w:space="0" w:color="auto"/>
            </w:tcBorders>
            <w:hideMark/>
          </w:tcPr>
          <w:p w14:paraId="00649128" w14:textId="7BB40C3E" w:rsidR="0085558C" w:rsidRPr="005641C4" w:rsidRDefault="0085558C" w:rsidP="002B691D">
            <w:pPr>
              <w:adjustRightInd w:val="0"/>
              <w:jc w:val="center"/>
              <w:rPr>
                <w:b/>
                <w:bCs/>
                <w:color w:val="FF0000"/>
                <w:lang w:eastAsia="en-US"/>
              </w:rPr>
            </w:pPr>
            <w:r w:rsidRPr="005641C4">
              <w:rPr>
                <w:b/>
                <w:bCs/>
                <w:color w:val="FF0000"/>
                <w:lang w:eastAsia="en-US"/>
              </w:rPr>
              <w:t>22 Ocak 202</w:t>
            </w:r>
            <w:r w:rsidR="0086233A">
              <w:rPr>
                <w:b/>
                <w:bCs/>
                <w:color w:val="FF0000"/>
                <w:lang w:eastAsia="en-US"/>
              </w:rPr>
              <w:t>5</w:t>
            </w:r>
          </w:p>
        </w:tc>
      </w:tr>
      <w:tr w:rsidR="0085558C" w:rsidRPr="00A757DB" w14:paraId="058D339B" w14:textId="77777777" w:rsidTr="0085558C">
        <w:trPr>
          <w:trHeight w:val="382"/>
        </w:trPr>
        <w:tc>
          <w:tcPr>
            <w:tcW w:w="11307" w:type="dxa"/>
            <w:gridSpan w:val="3"/>
            <w:tcBorders>
              <w:top w:val="single" w:sz="4" w:space="0" w:color="auto"/>
              <w:left w:val="single" w:sz="4" w:space="0" w:color="auto"/>
              <w:bottom w:val="single" w:sz="4" w:space="0" w:color="auto"/>
              <w:right w:val="single" w:sz="4" w:space="0" w:color="auto"/>
            </w:tcBorders>
          </w:tcPr>
          <w:p w14:paraId="765A6979" w14:textId="77777777" w:rsidR="0085558C" w:rsidRPr="00A757DB" w:rsidRDefault="0085558C" w:rsidP="002B691D">
            <w:pPr>
              <w:adjustRightInd w:val="0"/>
              <w:jc w:val="center"/>
              <w:rPr>
                <w:b/>
                <w:bCs/>
                <w:lang w:eastAsia="en-US"/>
              </w:rPr>
            </w:pPr>
            <w:r>
              <w:rPr>
                <w:b/>
                <w:bCs/>
                <w:highlight w:val="yellow"/>
                <w:lang w:eastAsia="en-US"/>
              </w:rPr>
              <w:t>IV</w:t>
            </w:r>
            <w:r w:rsidRPr="009E3D54">
              <w:rPr>
                <w:b/>
                <w:bCs/>
                <w:highlight w:val="yellow"/>
                <w:lang w:eastAsia="en-US"/>
              </w:rPr>
              <w:t>-İKİNCİ DEĞERLENDİRME SONUCUNDA KAYIT HAKKI KAZANANLARIN KAYIT TARİHLERİ</w:t>
            </w:r>
          </w:p>
        </w:tc>
      </w:tr>
      <w:tr w:rsidR="0085558C" w:rsidRPr="00A757DB" w14:paraId="6411B642" w14:textId="77777777" w:rsidTr="0085558C">
        <w:trPr>
          <w:trHeight w:val="382"/>
        </w:trPr>
        <w:tc>
          <w:tcPr>
            <w:tcW w:w="5015" w:type="dxa"/>
            <w:tcBorders>
              <w:top w:val="single" w:sz="4" w:space="0" w:color="auto"/>
              <w:left w:val="single" w:sz="4" w:space="0" w:color="auto"/>
              <w:bottom w:val="single" w:sz="4" w:space="0" w:color="auto"/>
              <w:right w:val="single" w:sz="4" w:space="0" w:color="auto"/>
            </w:tcBorders>
          </w:tcPr>
          <w:p w14:paraId="15018379" w14:textId="77777777" w:rsidR="0085558C" w:rsidRPr="00A757DB" w:rsidRDefault="0085558C" w:rsidP="002B691D">
            <w:pPr>
              <w:adjustRightInd w:val="0"/>
              <w:jc w:val="center"/>
              <w:rPr>
                <w:b/>
                <w:bCs/>
                <w:lang w:eastAsia="en-US"/>
              </w:rPr>
            </w:pPr>
            <w:r w:rsidRPr="00A757DB">
              <w:rPr>
                <w:b/>
                <w:bCs/>
                <w:lang w:eastAsia="en-US"/>
              </w:rPr>
              <w:t xml:space="preserve">Başlama: </w:t>
            </w:r>
            <w:r w:rsidRPr="00A757DB">
              <w:rPr>
                <w:b/>
                <w:bCs/>
                <w:color w:val="FF0000"/>
                <w:lang w:eastAsia="en-US"/>
              </w:rPr>
              <w:t xml:space="preserve"> </w:t>
            </w:r>
            <w:r>
              <w:rPr>
                <w:b/>
                <w:bCs/>
                <w:color w:val="FF0000"/>
                <w:lang w:eastAsia="en-US"/>
              </w:rPr>
              <w:t>23 Ocak 2025 (09.00)</w:t>
            </w:r>
          </w:p>
        </w:tc>
        <w:tc>
          <w:tcPr>
            <w:tcW w:w="6292" w:type="dxa"/>
            <w:gridSpan w:val="2"/>
            <w:tcBorders>
              <w:top w:val="single" w:sz="4" w:space="0" w:color="auto"/>
              <w:left w:val="single" w:sz="4" w:space="0" w:color="auto"/>
              <w:bottom w:val="single" w:sz="4" w:space="0" w:color="auto"/>
              <w:right w:val="single" w:sz="4" w:space="0" w:color="auto"/>
            </w:tcBorders>
          </w:tcPr>
          <w:p w14:paraId="761D7B57" w14:textId="77777777" w:rsidR="0085558C" w:rsidRPr="00A757DB" w:rsidRDefault="0085558C" w:rsidP="002B691D">
            <w:pPr>
              <w:adjustRightInd w:val="0"/>
              <w:jc w:val="center"/>
              <w:rPr>
                <w:b/>
                <w:bCs/>
                <w:lang w:eastAsia="en-US"/>
              </w:rPr>
            </w:pPr>
            <w:r w:rsidRPr="00A757DB">
              <w:rPr>
                <w:b/>
                <w:bCs/>
                <w:lang w:eastAsia="en-US"/>
              </w:rPr>
              <w:t xml:space="preserve">Bitiş: </w:t>
            </w:r>
            <w:r>
              <w:rPr>
                <w:b/>
                <w:bCs/>
                <w:color w:val="FF0000"/>
                <w:lang w:eastAsia="en-US"/>
              </w:rPr>
              <w:t>24 Ocak 2025 (23:59)</w:t>
            </w:r>
          </w:p>
        </w:tc>
      </w:tr>
      <w:tr w:rsidR="0085558C" w:rsidRPr="00A757DB" w14:paraId="27A852A4" w14:textId="77777777" w:rsidTr="0085558C">
        <w:trPr>
          <w:trHeight w:val="382"/>
        </w:trPr>
        <w:tc>
          <w:tcPr>
            <w:tcW w:w="11307" w:type="dxa"/>
            <w:gridSpan w:val="3"/>
            <w:tcBorders>
              <w:top w:val="single" w:sz="4" w:space="0" w:color="auto"/>
              <w:left w:val="single" w:sz="4" w:space="0" w:color="auto"/>
              <w:bottom w:val="single" w:sz="4" w:space="0" w:color="auto"/>
              <w:right w:val="single" w:sz="4" w:space="0" w:color="auto"/>
            </w:tcBorders>
          </w:tcPr>
          <w:p w14:paraId="1689F359" w14:textId="43D5AF8A" w:rsidR="0085558C" w:rsidRDefault="0085558C" w:rsidP="002B691D">
            <w:pPr>
              <w:adjustRightInd w:val="0"/>
              <w:jc w:val="both"/>
              <w:rPr>
                <w:b/>
                <w:bCs/>
                <w:lang w:eastAsia="en-US"/>
              </w:rPr>
            </w:pPr>
            <w:r>
              <w:rPr>
                <w:b/>
                <w:bCs/>
                <w:lang w:eastAsia="en-US"/>
              </w:rPr>
              <w:t xml:space="preserve">Not: Boş kalan programlar için </w:t>
            </w:r>
            <w:r>
              <w:rPr>
                <w:b/>
                <w:bCs/>
                <w:color w:val="FF0000"/>
                <w:lang w:eastAsia="en-US"/>
              </w:rPr>
              <w:t>27 Ocak 202</w:t>
            </w:r>
            <w:r w:rsidR="0086233A">
              <w:rPr>
                <w:b/>
                <w:bCs/>
                <w:color w:val="FF0000"/>
                <w:lang w:eastAsia="en-US"/>
              </w:rPr>
              <w:t>5</w:t>
            </w:r>
            <w:r w:rsidRPr="00E72566">
              <w:rPr>
                <w:b/>
                <w:bCs/>
                <w:color w:val="FF0000"/>
                <w:lang w:eastAsia="en-US"/>
              </w:rPr>
              <w:t xml:space="preserve"> </w:t>
            </w:r>
            <w:r>
              <w:rPr>
                <w:b/>
                <w:bCs/>
                <w:lang w:eastAsia="en-US"/>
              </w:rPr>
              <w:t xml:space="preserve">tarihinde üçüncü değerlendirme yapılabilir. Adayların, başvuru sistemlerini kontrol etmeleri faydalı olacaktır. </w:t>
            </w:r>
          </w:p>
          <w:p w14:paraId="454949FD" w14:textId="77777777" w:rsidR="0085558C" w:rsidRPr="00A757DB" w:rsidRDefault="0085558C" w:rsidP="002B691D">
            <w:pPr>
              <w:adjustRightInd w:val="0"/>
              <w:jc w:val="both"/>
              <w:rPr>
                <w:b/>
                <w:bCs/>
                <w:lang w:eastAsia="en-US"/>
              </w:rPr>
            </w:pPr>
            <w:r>
              <w:rPr>
                <w:b/>
                <w:bCs/>
                <w:lang w:eastAsia="en-US"/>
              </w:rPr>
              <w:t>Ayrıca, ilgili döneme ait eğitim-öğretime başlama tarihine kadar kontenjanlarda boşluk kalması durumunda değerlendirme ve yerleştirme yapılabilecektir.</w:t>
            </w:r>
          </w:p>
        </w:tc>
      </w:tr>
      <w:tr w:rsidR="0085558C" w:rsidRPr="00A757DB" w14:paraId="1A3A0532" w14:textId="77777777" w:rsidTr="0085558C">
        <w:trPr>
          <w:trHeight w:val="286"/>
        </w:trPr>
        <w:tc>
          <w:tcPr>
            <w:tcW w:w="11307" w:type="dxa"/>
            <w:gridSpan w:val="3"/>
            <w:tcBorders>
              <w:top w:val="single" w:sz="4" w:space="0" w:color="auto"/>
              <w:left w:val="single" w:sz="4" w:space="0" w:color="auto"/>
              <w:bottom w:val="single" w:sz="4" w:space="0" w:color="auto"/>
              <w:right w:val="single" w:sz="4" w:space="0" w:color="auto"/>
            </w:tcBorders>
            <w:hideMark/>
          </w:tcPr>
          <w:p w14:paraId="7F772E59" w14:textId="77777777" w:rsidR="0085558C" w:rsidRPr="00A757DB" w:rsidRDefault="0085558C" w:rsidP="002B691D">
            <w:pPr>
              <w:adjustRightInd w:val="0"/>
              <w:jc w:val="center"/>
              <w:rPr>
                <w:b/>
                <w:bCs/>
                <w:color w:val="FF0000"/>
                <w:lang w:eastAsia="en-US"/>
              </w:rPr>
            </w:pPr>
            <w:r>
              <w:rPr>
                <w:b/>
                <w:bCs/>
                <w:highlight w:val="yellow"/>
                <w:lang w:eastAsia="en-US"/>
              </w:rPr>
              <w:t>VI</w:t>
            </w:r>
            <w:r w:rsidRPr="009E3D54">
              <w:rPr>
                <w:b/>
                <w:bCs/>
                <w:highlight w:val="yellow"/>
                <w:lang w:eastAsia="en-US"/>
              </w:rPr>
              <w:t>-KATKI PAYI VE ÖĞRENİM ÜCRETLERİ</w:t>
            </w:r>
          </w:p>
        </w:tc>
      </w:tr>
      <w:tr w:rsidR="0085558C" w:rsidRPr="00A757DB" w14:paraId="1F15384C" w14:textId="77777777" w:rsidTr="0085558C">
        <w:trPr>
          <w:trHeight w:val="286"/>
        </w:trPr>
        <w:tc>
          <w:tcPr>
            <w:tcW w:w="5015" w:type="dxa"/>
            <w:tcBorders>
              <w:top w:val="single" w:sz="4" w:space="0" w:color="auto"/>
              <w:left w:val="single" w:sz="4" w:space="0" w:color="auto"/>
              <w:bottom w:val="single" w:sz="4" w:space="0" w:color="auto"/>
              <w:right w:val="single" w:sz="4" w:space="0" w:color="auto"/>
            </w:tcBorders>
            <w:hideMark/>
          </w:tcPr>
          <w:p w14:paraId="3EE60231" w14:textId="77777777" w:rsidR="0085558C" w:rsidRPr="00A757DB" w:rsidRDefault="0085558C" w:rsidP="002B691D">
            <w:pPr>
              <w:adjustRightInd w:val="0"/>
              <w:jc w:val="both"/>
              <w:rPr>
                <w:bCs/>
                <w:lang w:eastAsia="en-US"/>
              </w:rPr>
            </w:pPr>
            <w:r w:rsidRPr="00A757DB">
              <w:rPr>
                <w:bCs/>
                <w:lang w:eastAsia="en-US"/>
              </w:rPr>
              <w:t>Tezsiz yüksek lisans ikinci öğretim (yıllık)</w:t>
            </w:r>
          </w:p>
        </w:tc>
        <w:tc>
          <w:tcPr>
            <w:tcW w:w="6292" w:type="dxa"/>
            <w:gridSpan w:val="2"/>
            <w:tcBorders>
              <w:top w:val="single" w:sz="4" w:space="0" w:color="auto"/>
              <w:left w:val="single" w:sz="4" w:space="0" w:color="auto"/>
              <w:bottom w:val="single" w:sz="4" w:space="0" w:color="auto"/>
              <w:right w:val="single" w:sz="4" w:space="0" w:color="auto"/>
            </w:tcBorders>
          </w:tcPr>
          <w:p w14:paraId="18EEE007" w14:textId="77777777" w:rsidR="0085558C" w:rsidRPr="00A757DB" w:rsidRDefault="0085558C" w:rsidP="002B691D">
            <w:pPr>
              <w:adjustRightInd w:val="0"/>
              <w:rPr>
                <w:bCs/>
                <w:lang w:eastAsia="en-US"/>
              </w:rPr>
            </w:pPr>
          </w:p>
        </w:tc>
      </w:tr>
      <w:tr w:rsidR="0085558C" w:rsidRPr="00A757DB" w14:paraId="63E7665F" w14:textId="77777777" w:rsidTr="0085558C">
        <w:trPr>
          <w:trHeight w:val="286"/>
        </w:trPr>
        <w:tc>
          <w:tcPr>
            <w:tcW w:w="11307" w:type="dxa"/>
            <w:gridSpan w:val="3"/>
            <w:tcBorders>
              <w:top w:val="single" w:sz="4" w:space="0" w:color="auto"/>
              <w:left w:val="single" w:sz="4" w:space="0" w:color="auto"/>
              <w:bottom w:val="single" w:sz="4" w:space="0" w:color="auto"/>
              <w:right w:val="single" w:sz="4" w:space="0" w:color="auto"/>
            </w:tcBorders>
            <w:hideMark/>
          </w:tcPr>
          <w:p w14:paraId="0C1D8797" w14:textId="77777777" w:rsidR="0085558C" w:rsidRPr="00A757DB" w:rsidRDefault="0085558C" w:rsidP="002B691D">
            <w:pPr>
              <w:adjustRightInd w:val="0"/>
              <w:jc w:val="both"/>
              <w:rPr>
                <w:bCs/>
                <w:lang w:eastAsia="en-US"/>
              </w:rPr>
            </w:pPr>
            <w:r w:rsidRPr="00A757DB">
              <w:rPr>
                <w:bCs/>
                <w:lang w:eastAsia="en-US"/>
              </w:rPr>
              <w:t>Tezli yüksek lisans ve doktora programlarına kayıt yaptıracak ve ülkemizdeki yükseköğretim kurumlarından mezun olan TC uyruklu adaylar, programın normal süresinde ödeme yapmayacaklardır, uzatma halinde dönemlik veya yıllık ücret yatıracaklardır.</w:t>
            </w:r>
          </w:p>
        </w:tc>
      </w:tr>
      <w:tr w:rsidR="0085558C" w:rsidRPr="00A757DB" w14:paraId="43C36AC7" w14:textId="77777777" w:rsidTr="0085558C">
        <w:trPr>
          <w:trHeight w:val="286"/>
        </w:trPr>
        <w:tc>
          <w:tcPr>
            <w:tcW w:w="11307" w:type="dxa"/>
            <w:gridSpan w:val="3"/>
            <w:tcBorders>
              <w:top w:val="single" w:sz="4" w:space="0" w:color="auto"/>
              <w:left w:val="single" w:sz="4" w:space="0" w:color="auto"/>
              <w:bottom w:val="single" w:sz="4" w:space="0" w:color="auto"/>
              <w:right w:val="single" w:sz="4" w:space="0" w:color="auto"/>
            </w:tcBorders>
          </w:tcPr>
          <w:p w14:paraId="3F4F4565" w14:textId="77777777" w:rsidR="0085558C" w:rsidRPr="009065EA" w:rsidRDefault="0085558C" w:rsidP="002B691D">
            <w:pPr>
              <w:adjustRightInd w:val="0"/>
              <w:jc w:val="center"/>
              <w:rPr>
                <w:b/>
                <w:highlight w:val="yellow"/>
                <w:lang w:eastAsia="en-US"/>
              </w:rPr>
            </w:pPr>
            <w:r w:rsidRPr="009065EA">
              <w:rPr>
                <w:b/>
                <w:highlight w:val="yellow"/>
                <w:lang w:eastAsia="en-US"/>
              </w:rPr>
              <w:t>V</w:t>
            </w:r>
            <w:r>
              <w:rPr>
                <w:b/>
                <w:highlight w:val="yellow"/>
                <w:lang w:eastAsia="en-US"/>
              </w:rPr>
              <w:t>I</w:t>
            </w:r>
            <w:r w:rsidRPr="009065EA">
              <w:rPr>
                <w:b/>
                <w:highlight w:val="yellow"/>
                <w:lang w:eastAsia="en-US"/>
              </w:rPr>
              <w:t>I-DEĞERLENDİRME</w:t>
            </w:r>
            <w:r>
              <w:rPr>
                <w:b/>
                <w:highlight w:val="yellow"/>
                <w:lang w:eastAsia="en-US"/>
              </w:rPr>
              <w:t xml:space="preserve"> ŞEKLİ</w:t>
            </w:r>
          </w:p>
          <w:p w14:paraId="5140F352" w14:textId="543FC96B" w:rsidR="0085558C" w:rsidRPr="009755D8" w:rsidRDefault="0085558C" w:rsidP="00CC0F0D">
            <w:pPr>
              <w:adjustRightInd w:val="0"/>
              <w:jc w:val="both"/>
              <w:rPr>
                <w:bCs/>
                <w:lang w:eastAsia="en-US"/>
              </w:rPr>
            </w:pPr>
            <w:r w:rsidRPr="009065EA">
              <w:rPr>
                <w:bCs/>
                <w:lang w:eastAsia="en-US"/>
              </w:rPr>
              <w:t xml:space="preserve">1. Aday sadece bir programa </w:t>
            </w:r>
            <w:r w:rsidRPr="009755D8">
              <w:rPr>
                <w:b/>
                <w:lang w:eastAsia="en-US"/>
              </w:rPr>
              <w:t>ASIL</w:t>
            </w:r>
            <w:r w:rsidRPr="009065EA">
              <w:rPr>
                <w:bCs/>
                <w:lang w:eastAsia="en-US"/>
              </w:rPr>
              <w:t xml:space="preserve"> olarak yerleşebilir. Asıl olarak yerleşemeyen adaylar, tercih sırası ve puanı esas alınarak yeniden değerlendirilir. 2.Kazanıp kayıt yaptırmayan aday yeniden değerlendirme listesine alınmaz.</w:t>
            </w:r>
          </w:p>
        </w:tc>
      </w:tr>
      <w:tr w:rsidR="0085558C" w:rsidRPr="00A757DB" w14:paraId="7E420089" w14:textId="77777777" w:rsidTr="0085558C">
        <w:trPr>
          <w:trHeight w:val="286"/>
        </w:trPr>
        <w:tc>
          <w:tcPr>
            <w:tcW w:w="11307" w:type="dxa"/>
            <w:gridSpan w:val="3"/>
            <w:tcBorders>
              <w:top w:val="single" w:sz="4" w:space="0" w:color="auto"/>
              <w:left w:val="single" w:sz="4" w:space="0" w:color="auto"/>
              <w:bottom w:val="single" w:sz="4" w:space="0" w:color="auto"/>
              <w:right w:val="single" w:sz="4" w:space="0" w:color="auto"/>
            </w:tcBorders>
            <w:hideMark/>
          </w:tcPr>
          <w:p w14:paraId="3AE433E7" w14:textId="77777777" w:rsidR="0085558C" w:rsidRPr="00A757DB" w:rsidRDefault="0085558C" w:rsidP="002B691D">
            <w:pPr>
              <w:ind w:firstLine="708"/>
              <w:jc w:val="center"/>
              <w:rPr>
                <w:b/>
                <w:lang w:eastAsia="en-US"/>
              </w:rPr>
            </w:pPr>
            <w:r>
              <w:rPr>
                <w:b/>
                <w:highlight w:val="yellow"/>
                <w:lang w:eastAsia="en-US"/>
              </w:rPr>
              <w:t>VIII</w:t>
            </w:r>
            <w:r w:rsidRPr="009E3D54">
              <w:rPr>
                <w:b/>
                <w:highlight w:val="yellow"/>
                <w:lang w:eastAsia="en-US"/>
              </w:rPr>
              <w:t>-AÇIKLAMALAR</w:t>
            </w:r>
          </w:p>
          <w:p w14:paraId="5FA7F610" w14:textId="77777777" w:rsidR="0085558C" w:rsidRPr="00A757DB" w:rsidRDefault="0085558C" w:rsidP="0085558C">
            <w:pPr>
              <w:pStyle w:val="ListeParagraf"/>
              <w:widowControl/>
              <w:numPr>
                <w:ilvl w:val="0"/>
                <w:numId w:val="1"/>
              </w:numPr>
              <w:autoSpaceDE/>
              <w:autoSpaceDN/>
              <w:ind w:left="284" w:hanging="284"/>
              <w:contextualSpacing/>
              <w:jc w:val="both"/>
              <w:rPr>
                <w:b/>
                <w:lang w:eastAsia="en-US"/>
              </w:rPr>
            </w:pPr>
            <w:r w:rsidRPr="00A757DB">
              <w:rPr>
                <w:lang w:eastAsia="en-US"/>
              </w:rPr>
              <w:t>Posta ile</w:t>
            </w:r>
            <w:r w:rsidRPr="00A757DB">
              <w:rPr>
                <w:spacing w:val="-1"/>
                <w:lang w:eastAsia="en-US"/>
              </w:rPr>
              <w:t xml:space="preserve"> </w:t>
            </w:r>
            <w:r w:rsidRPr="00A757DB">
              <w:rPr>
                <w:lang w:eastAsia="en-US"/>
              </w:rPr>
              <w:t>b</w:t>
            </w:r>
            <w:r w:rsidRPr="00A757DB">
              <w:rPr>
                <w:spacing w:val="-1"/>
                <w:lang w:eastAsia="en-US"/>
              </w:rPr>
              <w:t>a</w:t>
            </w:r>
            <w:r w:rsidRPr="00A757DB">
              <w:rPr>
                <w:lang w:eastAsia="en-US"/>
              </w:rPr>
              <w:t>şvuru k</w:t>
            </w:r>
            <w:r w:rsidRPr="00A757DB">
              <w:rPr>
                <w:spacing w:val="-2"/>
                <w:lang w:eastAsia="en-US"/>
              </w:rPr>
              <w:t>a</w:t>
            </w:r>
            <w:r w:rsidRPr="00A757DB">
              <w:rPr>
                <w:lang w:eastAsia="en-US"/>
              </w:rPr>
              <w:t xml:space="preserve">bul </w:t>
            </w:r>
            <w:r w:rsidRPr="00A757DB">
              <w:rPr>
                <w:spacing w:val="1"/>
                <w:lang w:eastAsia="en-US"/>
              </w:rPr>
              <w:t>e</w:t>
            </w:r>
            <w:r w:rsidRPr="00A757DB">
              <w:rPr>
                <w:lang w:eastAsia="en-US"/>
              </w:rPr>
              <w:t>dilm</w:t>
            </w:r>
            <w:r w:rsidRPr="00A757DB">
              <w:rPr>
                <w:spacing w:val="1"/>
                <w:lang w:eastAsia="en-US"/>
              </w:rPr>
              <w:t>e</w:t>
            </w:r>
            <w:r w:rsidRPr="00A757DB">
              <w:rPr>
                <w:spacing w:val="-5"/>
                <w:lang w:eastAsia="en-US"/>
              </w:rPr>
              <w:t>y</w:t>
            </w:r>
            <w:r w:rsidRPr="00A757DB">
              <w:rPr>
                <w:spacing w:val="1"/>
                <w:lang w:eastAsia="en-US"/>
              </w:rPr>
              <w:t>e</w:t>
            </w:r>
            <w:r w:rsidRPr="00A757DB">
              <w:rPr>
                <w:spacing w:val="-1"/>
                <w:lang w:eastAsia="en-US"/>
              </w:rPr>
              <w:t>ce</w:t>
            </w:r>
            <w:r w:rsidRPr="00A757DB">
              <w:rPr>
                <w:lang w:eastAsia="en-US"/>
              </w:rPr>
              <w:t xml:space="preserve">ktir, </w:t>
            </w:r>
            <w:r w:rsidRPr="00A757DB">
              <w:rPr>
                <w:spacing w:val="1"/>
                <w:lang w:eastAsia="en-US"/>
              </w:rPr>
              <w:t xml:space="preserve">başvurular ve kesin kayıt işlemleri </w:t>
            </w:r>
            <w:r w:rsidRPr="00A757DB">
              <w:rPr>
                <w:b/>
                <w:lang w:eastAsia="en-US"/>
              </w:rPr>
              <w:t>onlin</w:t>
            </w:r>
            <w:r w:rsidRPr="00A757DB">
              <w:rPr>
                <w:b/>
                <w:spacing w:val="-1"/>
                <w:lang w:eastAsia="en-US"/>
              </w:rPr>
              <w:t>e</w:t>
            </w:r>
            <w:r w:rsidRPr="00A757DB">
              <w:rPr>
                <w:spacing w:val="3"/>
                <w:lang w:eastAsia="en-US"/>
              </w:rPr>
              <w:t xml:space="preserve"> olarak </w:t>
            </w:r>
            <w:r w:rsidRPr="00A757DB">
              <w:rPr>
                <w:spacing w:val="-5"/>
                <w:lang w:eastAsia="en-US"/>
              </w:rPr>
              <w:t>y</w:t>
            </w:r>
            <w:r w:rsidRPr="00A757DB">
              <w:rPr>
                <w:spacing w:val="-1"/>
                <w:lang w:eastAsia="en-US"/>
              </w:rPr>
              <w:t>a</w:t>
            </w:r>
            <w:r w:rsidRPr="00A757DB">
              <w:rPr>
                <w:lang w:eastAsia="en-US"/>
              </w:rPr>
              <w:t>pıl</w:t>
            </w:r>
            <w:r w:rsidRPr="00A757DB">
              <w:rPr>
                <w:spacing w:val="1"/>
                <w:lang w:eastAsia="en-US"/>
              </w:rPr>
              <w:t>a</w:t>
            </w:r>
            <w:r w:rsidRPr="00A757DB">
              <w:rPr>
                <w:spacing w:val="-1"/>
                <w:lang w:eastAsia="en-US"/>
              </w:rPr>
              <w:t>ca</w:t>
            </w:r>
            <w:r w:rsidRPr="00A757DB">
              <w:rPr>
                <w:lang w:eastAsia="en-US"/>
              </w:rPr>
              <w:t xml:space="preserve">ktır. </w:t>
            </w:r>
          </w:p>
          <w:p w14:paraId="4997B926" w14:textId="77777777" w:rsidR="0085558C" w:rsidRPr="00A757DB" w:rsidRDefault="0085558C" w:rsidP="0085558C">
            <w:pPr>
              <w:pStyle w:val="ListeParagraf"/>
              <w:widowControl/>
              <w:numPr>
                <w:ilvl w:val="0"/>
                <w:numId w:val="1"/>
              </w:numPr>
              <w:autoSpaceDE/>
              <w:autoSpaceDN/>
              <w:ind w:left="284" w:hanging="284"/>
              <w:contextualSpacing/>
              <w:jc w:val="both"/>
              <w:rPr>
                <w:b/>
                <w:lang w:eastAsia="en-US"/>
              </w:rPr>
            </w:pPr>
            <w:r w:rsidRPr="00A757DB">
              <w:rPr>
                <w:color w:val="000000" w:themeColor="text1"/>
                <w:lang w:eastAsia="en-US"/>
              </w:rPr>
              <w:t>Adayların akademik genel not ortalamaları YÖKSİS’ten, sınav sonuçları ise ÖSYM veri tabanından alınacaktır. Not dönüşümü, YÖK Not Dönüşüm tablosuna göre sistem tarafından yapılacaktır. Üniversitelerin dönüşümleri dikkate alınmayacaktır.</w:t>
            </w:r>
          </w:p>
          <w:p w14:paraId="5CA6D1E0" w14:textId="77777777" w:rsidR="0085558C" w:rsidRPr="00A757DB" w:rsidRDefault="0085558C" w:rsidP="0085558C">
            <w:pPr>
              <w:pStyle w:val="ListeParagraf"/>
              <w:widowControl/>
              <w:numPr>
                <w:ilvl w:val="0"/>
                <w:numId w:val="1"/>
              </w:numPr>
              <w:autoSpaceDE/>
              <w:autoSpaceDN/>
              <w:ind w:left="284" w:hanging="284"/>
              <w:contextualSpacing/>
              <w:jc w:val="both"/>
              <w:rPr>
                <w:b/>
                <w:lang w:eastAsia="en-US"/>
              </w:rPr>
            </w:pPr>
            <w:r w:rsidRPr="00A757DB">
              <w:rPr>
                <w:color w:val="000000" w:themeColor="text1"/>
                <w:lang w:eastAsia="en-US"/>
              </w:rPr>
              <w:t>Kamu-Sanayi-Toplum kontenjanına sadece Üniversitemiz ile protokol imzalayan kamu kurum ve kuruluşlardaki personeller müracaat edebilir. Görev yeri belgesi sunmayan adayın başvurusu iptal edilir.</w:t>
            </w:r>
          </w:p>
          <w:p w14:paraId="7A3B963D" w14:textId="77777777" w:rsidR="0085558C" w:rsidRPr="00F72C4C" w:rsidRDefault="0085558C" w:rsidP="0085558C">
            <w:pPr>
              <w:pStyle w:val="ListeParagraf"/>
              <w:widowControl/>
              <w:numPr>
                <w:ilvl w:val="0"/>
                <w:numId w:val="1"/>
              </w:numPr>
              <w:autoSpaceDE/>
              <w:autoSpaceDN/>
              <w:ind w:left="284" w:hanging="284"/>
              <w:contextualSpacing/>
              <w:jc w:val="both"/>
              <w:rPr>
                <w:b/>
                <w:lang w:eastAsia="en-US"/>
              </w:rPr>
            </w:pPr>
            <w:r w:rsidRPr="00A757DB">
              <w:rPr>
                <w:color w:val="000000" w:themeColor="text1"/>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14:paraId="5AFF8BE2" w14:textId="77777777" w:rsidR="0085558C" w:rsidRPr="00F72C4C" w:rsidRDefault="0085558C" w:rsidP="0085558C">
            <w:pPr>
              <w:pStyle w:val="ListeParagraf"/>
              <w:widowControl/>
              <w:numPr>
                <w:ilvl w:val="0"/>
                <w:numId w:val="1"/>
              </w:numPr>
              <w:tabs>
                <w:tab w:val="left" w:pos="426"/>
              </w:tabs>
              <w:autoSpaceDE/>
              <w:autoSpaceDN/>
              <w:ind w:left="284" w:hanging="284"/>
              <w:contextualSpacing/>
              <w:jc w:val="both"/>
              <w:rPr>
                <w:b/>
                <w:lang w:eastAsia="en-US"/>
              </w:rPr>
            </w:pPr>
            <w:r w:rsidRPr="00F72C4C">
              <w:rPr>
                <w:bCs/>
                <w:color w:val="000000" w:themeColor="text1"/>
                <w:lang w:eastAsia="en-US"/>
              </w:rPr>
              <w:t>Gerçeğe aykırı/yanlış</w:t>
            </w:r>
            <w:r w:rsidRPr="00F72C4C">
              <w:rPr>
                <w:color w:val="000000" w:themeColor="text1"/>
                <w:lang w:eastAsia="en-US"/>
              </w:rPr>
              <w:t xml:space="preserve"> </w:t>
            </w:r>
            <w:r w:rsidRPr="00F72C4C">
              <w:rPr>
                <w:bCs/>
                <w:color w:val="000000" w:themeColor="text1"/>
                <w:lang w:eastAsia="en-US"/>
              </w:rPr>
              <w:t>beyanda bulunanlar ile belgelerinde noksanlık veya tahrifat olan ya da anabilim dalının ölçütlerini kar</w:t>
            </w:r>
            <w:r w:rsidRPr="00F72C4C">
              <w:rPr>
                <w:color w:val="000000" w:themeColor="text1"/>
                <w:lang w:eastAsia="en-US"/>
              </w:rPr>
              <w:t>ş</w:t>
            </w:r>
            <w:r w:rsidRPr="00F72C4C">
              <w:rPr>
                <w:bCs/>
                <w:color w:val="000000" w:themeColor="text1"/>
                <w:lang w:eastAsia="en-US"/>
              </w:rPr>
              <w:t>ılamayan belgelerle yapılan başvurular değerlendirmenin hangi a</w:t>
            </w:r>
            <w:r w:rsidRPr="00F72C4C">
              <w:rPr>
                <w:color w:val="000000" w:themeColor="text1"/>
                <w:lang w:eastAsia="en-US"/>
              </w:rPr>
              <w:t>ş</w:t>
            </w:r>
            <w:r w:rsidRPr="00F72C4C">
              <w:rPr>
                <w:bCs/>
                <w:color w:val="000000" w:themeColor="text1"/>
                <w:lang w:eastAsia="en-US"/>
              </w:rPr>
              <w:t>amasında olursa olsun değerlendirme dışı bırakılacaktır.</w:t>
            </w:r>
          </w:p>
          <w:p w14:paraId="18A64255" w14:textId="77777777" w:rsidR="0085558C" w:rsidRPr="00A757DB" w:rsidRDefault="0085558C" w:rsidP="0085558C">
            <w:pPr>
              <w:pStyle w:val="ListeParagraf"/>
              <w:widowControl/>
              <w:numPr>
                <w:ilvl w:val="0"/>
                <w:numId w:val="1"/>
              </w:numPr>
              <w:autoSpaceDE/>
              <w:autoSpaceDN/>
              <w:ind w:left="284" w:hanging="284"/>
              <w:contextualSpacing/>
              <w:jc w:val="both"/>
              <w:rPr>
                <w:b/>
                <w:lang w:eastAsia="en-US"/>
              </w:rPr>
            </w:pPr>
            <w:r w:rsidRPr="00A757DB">
              <w:rPr>
                <w:lang w:eastAsia="en-US"/>
              </w:rPr>
              <w:t>Belirlenen tarihler arasında işlemlerini tamamlamayan veya kayıt işlemini gerçekleştirmeyen aday ile ilgili herhangi bir işlem yapılmaz ve yerine yedek kaydı alınır.</w:t>
            </w:r>
          </w:p>
          <w:p w14:paraId="3D4B7991" w14:textId="77777777" w:rsidR="0085558C" w:rsidRPr="00A757DB" w:rsidRDefault="0085558C" w:rsidP="0085558C">
            <w:pPr>
              <w:pStyle w:val="ListeParagraf"/>
              <w:widowControl/>
              <w:numPr>
                <w:ilvl w:val="0"/>
                <w:numId w:val="1"/>
              </w:numPr>
              <w:autoSpaceDE/>
              <w:autoSpaceDN/>
              <w:ind w:left="284" w:hanging="284"/>
              <w:contextualSpacing/>
              <w:jc w:val="both"/>
              <w:rPr>
                <w:b/>
                <w:lang w:eastAsia="en-US"/>
              </w:rPr>
            </w:pPr>
            <w:r w:rsidRPr="00A757DB">
              <w:rPr>
                <w:lang w:eastAsia="en-US"/>
              </w:rPr>
              <w:t>Yedek kayıt işleminden sonra kaydını sildirecek tezsiz yüksek lisans öğrencilerinin yatırmış oldukları öğrenim ücreti iade edilmez.</w:t>
            </w:r>
          </w:p>
          <w:p w14:paraId="13837C7B" w14:textId="77777777" w:rsidR="0085558C" w:rsidRPr="00A757DB" w:rsidRDefault="0085558C" w:rsidP="0085558C">
            <w:pPr>
              <w:pStyle w:val="ListeParagraf"/>
              <w:widowControl/>
              <w:numPr>
                <w:ilvl w:val="0"/>
                <w:numId w:val="1"/>
              </w:numPr>
              <w:autoSpaceDE/>
              <w:autoSpaceDN/>
              <w:ind w:left="284" w:hanging="284"/>
              <w:contextualSpacing/>
              <w:jc w:val="both"/>
              <w:rPr>
                <w:b/>
                <w:lang w:eastAsia="en-US"/>
              </w:rPr>
            </w:pPr>
            <w:r w:rsidRPr="00A757DB">
              <w:rPr>
                <w:lang w:eastAsia="en-US"/>
              </w:rPr>
              <w:t>Tezsiz yüksek lisans hari</w:t>
            </w:r>
            <w:r w:rsidRPr="00A757DB">
              <w:rPr>
                <w:b/>
                <w:lang w:eastAsia="en-US"/>
              </w:rPr>
              <w:t xml:space="preserve">ç </w:t>
            </w:r>
            <w:r w:rsidRPr="00A757DB">
              <w:rPr>
                <w:lang w:eastAsia="en-US"/>
              </w:rPr>
              <w:t>aynı anda iki lisansüstü programa kayıt yapılamayacağından, üniversitemizi kazanan adayların diğer lisansüstü programdan kaydını sildirmesi gerekmektedir.</w:t>
            </w:r>
          </w:p>
          <w:p w14:paraId="364B3521" w14:textId="77777777" w:rsidR="0085558C" w:rsidRPr="00A757DB" w:rsidRDefault="0085558C" w:rsidP="0085558C">
            <w:pPr>
              <w:pStyle w:val="ListeParagraf"/>
              <w:widowControl/>
              <w:numPr>
                <w:ilvl w:val="0"/>
                <w:numId w:val="1"/>
              </w:numPr>
              <w:autoSpaceDE/>
              <w:autoSpaceDN/>
              <w:ind w:left="284" w:hanging="284"/>
              <w:contextualSpacing/>
              <w:jc w:val="both"/>
              <w:rPr>
                <w:b/>
                <w:lang w:eastAsia="en-US"/>
              </w:rPr>
            </w:pPr>
            <w:r w:rsidRPr="00A757DB">
              <w:rPr>
                <w:lang w:eastAsia="en-US"/>
              </w:rPr>
              <w:t>Bu ilanda belirtilmeyen hususlar ile ilgili Dicle Üniversitesi Lisansüstü Eğitim-Öğretim ve Sınav Yönetmeliği hükümleri çerçevesinde işlem yapılacaktır.</w:t>
            </w:r>
          </w:p>
        </w:tc>
      </w:tr>
      <w:bookmarkEnd w:id="0"/>
    </w:tbl>
    <w:p w14:paraId="22A51812" w14:textId="2E1EFF17" w:rsidR="0005113F" w:rsidRDefault="0005113F"/>
    <w:p w14:paraId="762CDA70" w14:textId="31C4E6A9" w:rsidR="00CC0F0D" w:rsidRDefault="00CC0F0D"/>
    <w:p w14:paraId="69D1B17E" w14:textId="77777777" w:rsidR="00CC0F0D" w:rsidRDefault="00CC0F0D"/>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134"/>
        <w:gridCol w:w="709"/>
        <w:gridCol w:w="1417"/>
        <w:gridCol w:w="1418"/>
        <w:gridCol w:w="1417"/>
        <w:gridCol w:w="3544"/>
      </w:tblGrid>
      <w:tr w:rsidR="001E251E" w14:paraId="61153767" w14:textId="77777777" w:rsidTr="001E251E">
        <w:trPr>
          <w:trHeight w:val="290"/>
        </w:trPr>
        <w:tc>
          <w:tcPr>
            <w:tcW w:w="11057" w:type="dxa"/>
            <w:gridSpan w:val="7"/>
          </w:tcPr>
          <w:p w14:paraId="7CF51435" w14:textId="3658C17D" w:rsidR="001E251E" w:rsidRPr="000A5C62" w:rsidRDefault="001E251E" w:rsidP="002B691D">
            <w:pPr>
              <w:pStyle w:val="TableParagraph"/>
              <w:jc w:val="center"/>
              <w:rPr>
                <w:b/>
                <w:bCs/>
                <w:sz w:val="18"/>
              </w:rPr>
            </w:pPr>
            <w:r>
              <w:rPr>
                <w:b/>
                <w:bCs/>
                <w:sz w:val="18"/>
              </w:rPr>
              <w:lastRenderedPageBreak/>
              <w:t>ÖĞRENCİ ALACAK PROGRAMLAR</w:t>
            </w:r>
          </w:p>
        </w:tc>
      </w:tr>
      <w:tr w:rsidR="001E251E" w14:paraId="5DF9E13D" w14:textId="77777777" w:rsidTr="001E251E">
        <w:trPr>
          <w:trHeight w:val="460"/>
        </w:trPr>
        <w:tc>
          <w:tcPr>
            <w:tcW w:w="1418" w:type="dxa"/>
          </w:tcPr>
          <w:p w14:paraId="05FB57E4" w14:textId="77777777" w:rsidR="001E251E" w:rsidRDefault="001E251E" w:rsidP="002B691D">
            <w:pPr>
              <w:pStyle w:val="TableParagraph"/>
              <w:spacing w:before="1" w:line="229" w:lineRule="exact"/>
              <w:ind w:left="107"/>
              <w:rPr>
                <w:b/>
                <w:sz w:val="20"/>
              </w:rPr>
            </w:pPr>
            <w:r>
              <w:rPr>
                <w:b/>
                <w:sz w:val="20"/>
              </w:rPr>
              <w:t>Anabilim</w:t>
            </w:r>
            <w:r>
              <w:rPr>
                <w:b/>
                <w:spacing w:val="-3"/>
                <w:sz w:val="20"/>
              </w:rPr>
              <w:t xml:space="preserve"> </w:t>
            </w:r>
            <w:r>
              <w:rPr>
                <w:b/>
                <w:sz w:val="20"/>
              </w:rPr>
              <w:t>Dalı</w:t>
            </w:r>
            <w:r>
              <w:rPr>
                <w:b/>
                <w:spacing w:val="-3"/>
                <w:sz w:val="20"/>
              </w:rPr>
              <w:t xml:space="preserve"> </w:t>
            </w:r>
            <w:r>
              <w:rPr>
                <w:b/>
                <w:sz w:val="20"/>
              </w:rPr>
              <w:t>/</w:t>
            </w:r>
          </w:p>
          <w:p w14:paraId="166787C5" w14:textId="77777777" w:rsidR="001E251E" w:rsidRPr="000A5C62" w:rsidRDefault="001E251E" w:rsidP="002B691D">
            <w:pPr>
              <w:pStyle w:val="TableParagraph"/>
              <w:spacing w:before="115"/>
              <w:ind w:left="107"/>
              <w:rPr>
                <w:b/>
                <w:sz w:val="20"/>
              </w:rPr>
            </w:pPr>
            <w:r>
              <w:rPr>
                <w:b/>
                <w:sz w:val="20"/>
              </w:rPr>
              <w:t>Program</w:t>
            </w:r>
          </w:p>
        </w:tc>
        <w:tc>
          <w:tcPr>
            <w:tcW w:w="1134" w:type="dxa"/>
          </w:tcPr>
          <w:p w14:paraId="1CD03E0D" w14:textId="77777777" w:rsidR="001E251E" w:rsidRPr="000A5C62" w:rsidRDefault="001E251E" w:rsidP="002B691D">
            <w:pPr>
              <w:pStyle w:val="TableParagraph"/>
              <w:ind w:left="105"/>
              <w:jc w:val="center"/>
              <w:rPr>
                <w:sz w:val="20"/>
              </w:rPr>
            </w:pPr>
            <w:r>
              <w:rPr>
                <w:sz w:val="20"/>
              </w:rPr>
              <w:t>Kontenjan Türü</w:t>
            </w:r>
          </w:p>
        </w:tc>
        <w:tc>
          <w:tcPr>
            <w:tcW w:w="709" w:type="dxa"/>
          </w:tcPr>
          <w:p w14:paraId="7BE93603" w14:textId="77777777" w:rsidR="001E251E" w:rsidRPr="000A5C62" w:rsidRDefault="001E251E" w:rsidP="002B691D">
            <w:pPr>
              <w:pStyle w:val="TableParagraph"/>
              <w:spacing w:before="115"/>
              <w:ind w:left="108"/>
              <w:jc w:val="center"/>
              <w:rPr>
                <w:sz w:val="20"/>
              </w:rPr>
            </w:pPr>
            <w:r>
              <w:rPr>
                <w:sz w:val="20"/>
              </w:rPr>
              <w:t>Genel Kont.</w:t>
            </w:r>
          </w:p>
        </w:tc>
        <w:tc>
          <w:tcPr>
            <w:tcW w:w="1417" w:type="dxa"/>
          </w:tcPr>
          <w:p w14:paraId="3CCA0142" w14:textId="77777777" w:rsidR="001E251E" w:rsidRPr="000A5C62" w:rsidRDefault="001E251E" w:rsidP="002B691D">
            <w:pPr>
              <w:pStyle w:val="TableParagraph"/>
              <w:jc w:val="center"/>
              <w:rPr>
                <w:sz w:val="20"/>
              </w:rPr>
            </w:pPr>
            <w:r>
              <w:rPr>
                <w:sz w:val="20"/>
              </w:rPr>
              <w:t>Kamus-Sanayi-Toplum Kont.</w:t>
            </w:r>
          </w:p>
        </w:tc>
        <w:tc>
          <w:tcPr>
            <w:tcW w:w="1418" w:type="dxa"/>
          </w:tcPr>
          <w:p w14:paraId="2C9F17AC" w14:textId="77777777" w:rsidR="001E251E" w:rsidRPr="000A5C62" w:rsidRDefault="001E251E" w:rsidP="002B691D">
            <w:pPr>
              <w:pStyle w:val="TableParagraph"/>
              <w:spacing w:before="115"/>
              <w:ind w:left="7"/>
              <w:jc w:val="center"/>
              <w:rPr>
                <w:w w:val="99"/>
                <w:sz w:val="20"/>
              </w:rPr>
            </w:pPr>
            <w:r>
              <w:rPr>
                <w:w w:val="99"/>
                <w:sz w:val="20"/>
              </w:rPr>
              <w:t>YDS</w:t>
            </w:r>
          </w:p>
        </w:tc>
        <w:tc>
          <w:tcPr>
            <w:tcW w:w="1417" w:type="dxa"/>
          </w:tcPr>
          <w:p w14:paraId="6E5BDB07" w14:textId="77777777" w:rsidR="001E251E" w:rsidRPr="000A5C62" w:rsidRDefault="001E251E" w:rsidP="002B691D">
            <w:pPr>
              <w:pStyle w:val="TableParagraph"/>
              <w:spacing w:before="115"/>
              <w:ind w:left="106"/>
              <w:jc w:val="center"/>
              <w:rPr>
                <w:sz w:val="20"/>
              </w:rPr>
            </w:pPr>
            <w:r>
              <w:rPr>
                <w:sz w:val="20"/>
              </w:rPr>
              <w:t>ALES Puanı ve Türü</w:t>
            </w:r>
          </w:p>
        </w:tc>
        <w:tc>
          <w:tcPr>
            <w:tcW w:w="3544" w:type="dxa"/>
          </w:tcPr>
          <w:p w14:paraId="54EE8890" w14:textId="77777777" w:rsidR="001E251E" w:rsidRPr="000A5C62" w:rsidRDefault="001E251E" w:rsidP="002B691D">
            <w:pPr>
              <w:pStyle w:val="TableParagraph"/>
              <w:spacing w:before="115"/>
              <w:ind w:left="103"/>
              <w:rPr>
                <w:sz w:val="20"/>
              </w:rPr>
            </w:pPr>
            <w:r>
              <w:rPr>
                <w:sz w:val="20"/>
              </w:rPr>
              <w:t>Açıklamalar</w:t>
            </w:r>
          </w:p>
        </w:tc>
      </w:tr>
      <w:tr w:rsidR="001E251E" w14:paraId="403A9ABE" w14:textId="77777777" w:rsidTr="001E251E">
        <w:trPr>
          <w:trHeight w:val="460"/>
        </w:trPr>
        <w:tc>
          <w:tcPr>
            <w:tcW w:w="1418" w:type="dxa"/>
          </w:tcPr>
          <w:p w14:paraId="5642D4B3" w14:textId="77777777" w:rsidR="001E251E" w:rsidRPr="000A5C62" w:rsidRDefault="001E251E" w:rsidP="002B691D">
            <w:pPr>
              <w:pStyle w:val="TableParagraph"/>
              <w:spacing w:before="115"/>
              <w:ind w:left="107"/>
              <w:rPr>
                <w:b/>
                <w:sz w:val="20"/>
              </w:rPr>
            </w:pPr>
            <w:r w:rsidRPr="000A5C62">
              <w:rPr>
                <w:b/>
                <w:sz w:val="20"/>
              </w:rPr>
              <w:t>Finansal</w:t>
            </w:r>
            <w:r w:rsidRPr="000A5C62">
              <w:rPr>
                <w:b/>
                <w:spacing w:val="-4"/>
                <w:sz w:val="20"/>
              </w:rPr>
              <w:t xml:space="preserve"> </w:t>
            </w:r>
            <w:r w:rsidRPr="000A5C62">
              <w:rPr>
                <w:b/>
                <w:sz w:val="20"/>
              </w:rPr>
              <w:t>Ekonomi</w:t>
            </w:r>
          </w:p>
        </w:tc>
        <w:tc>
          <w:tcPr>
            <w:tcW w:w="1134" w:type="dxa"/>
          </w:tcPr>
          <w:p w14:paraId="5CE6B450" w14:textId="77777777" w:rsidR="001E251E" w:rsidRPr="000A5C62" w:rsidRDefault="001E251E" w:rsidP="002B691D">
            <w:pPr>
              <w:pStyle w:val="TableParagraph"/>
              <w:ind w:left="105"/>
              <w:jc w:val="center"/>
              <w:rPr>
                <w:sz w:val="20"/>
              </w:rPr>
            </w:pPr>
            <w:r w:rsidRPr="000A5C62">
              <w:rPr>
                <w:sz w:val="20"/>
              </w:rPr>
              <w:t>Tezsiz</w:t>
            </w:r>
            <w:r w:rsidRPr="000A5C62">
              <w:rPr>
                <w:spacing w:val="23"/>
                <w:sz w:val="20"/>
              </w:rPr>
              <w:t xml:space="preserve"> </w:t>
            </w:r>
            <w:r w:rsidRPr="000A5C62">
              <w:rPr>
                <w:sz w:val="20"/>
              </w:rPr>
              <w:t>Yüksek</w:t>
            </w:r>
          </w:p>
          <w:p w14:paraId="19A04060" w14:textId="77777777" w:rsidR="001E251E" w:rsidRPr="000A5C62" w:rsidRDefault="001E251E" w:rsidP="002B691D">
            <w:pPr>
              <w:pStyle w:val="TableParagraph"/>
              <w:spacing w:line="210" w:lineRule="exact"/>
              <w:ind w:left="105"/>
              <w:jc w:val="center"/>
              <w:rPr>
                <w:sz w:val="20"/>
              </w:rPr>
            </w:pPr>
            <w:r w:rsidRPr="000A5C62">
              <w:rPr>
                <w:sz w:val="20"/>
              </w:rPr>
              <w:t>Lisans</w:t>
            </w:r>
          </w:p>
        </w:tc>
        <w:tc>
          <w:tcPr>
            <w:tcW w:w="709" w:type="dxa"/>
          </w:tcPr>
          <w:p w14:paraId="33D25826" w14:textId="77777777" w:rsidR="001E251E" w:rsidRPr="000A5C62" w:rsidRDefault="001E251E" w:rsidP="002B691D">
            <w:pPr>
              <w:pStyle w:val="TableParagraph"/>
              <w:spacing w:before="115"/>
              <w:ind w:left="108"/>
              <w:jc w:val="center"/>
              <w:rPr>
                <w:sz w:val="20"/>
              </w:rPr>
            </w:pPr>
            <w:r w:rsidRPr="000A5C62">
              <w:rPr>
                <w:sz w:val="20"/>
              </w:rPr>
              <w:t>20</w:t>
            </w:r>
          </w:p>
        </w:tc>
        <w:tc>
          <w:tcPr>
            <w:tcW w:w="1417" w:type="dxa"/>
          </w:tcPr>
          <w:p w14:paraId="278C8944" w14:textId="77777777" w:rsidR="001E251E" w:rsidRPr="000A5C62" w:rsidRDefault="001E251E" w:rsidP="002B691D">
            <w:pPr>
              <w:pStyle w:val="TableParagraph"/>
              <w:jc w:val="center"/>
              <w:rPr>
                <w:sz w:val="20"/>
              </w:rPr>
            </w:pPr>
          </w:p>
          <w:p w14:paraId="557AB8EA" w14:textId="5A92FABB" w:rsidR="001E251E" w:rsidRPr="000A5C62" w:rsidRDefault="001E251E" w:rsidP="001E251E">
            <w:pPr>
              <w:pStyle w:val="TableParagraph"/>
              <w:spacing w:line="210" w:lineRule="exact"/>
              <w:ind w:left="-3"/>
              <w:jc w:val="center"/>
              <w:rPr>
                <w:sz w:val="20"/>
              </w:rPr>
            </w:pPr>
          </w:p>
        </w:tc>
        <w:tc>
          <w:tcPr>
            <w:tcW w:w="1418" w:type="dxa"/>
          </w:tcPr>
          <w:p w14:paraId="6014C039" w14:textId="77777777" w:rsidR="001E251E" w:rsidRPr="000A5C62" w:rsidRDefault="001E251E" w:rsidP="002B691D">
            <w:pPr>
              <w:pStyle w:val="TableParagraph"/>
              <w:spacing w:before="115"/>
              <w:ind w:left="7"/>
              <w:jc w:val="center"/>
              <w:rPr>
                <w:sz w:val="20"/>
              </w:rPr>
            </w:pPr>
            <w:r w:rsidRPr="000A5C62">
              <w:rPr>
                <w:w w:val="99"/>
                <w:sz w:val="20"/>
              </w:rPr>
              <w:t>-</w:t>
            </w:r>
          </w:p>
        </w:tc>
        <w:tc>
          <w:tcPr>
            <w:tcW w:w="1417" w:type="dxa"/>
          </w:tcPr>
          <w:p w14:paraId="171F3508" w14:textId="3A73E8BA" w:rsidR="001E251E" w:rsidRPr="000A5C62" w:rsidRDefault="000B35D9" w:rsidP="002B691D">
            <w:pPr>
              <w:pStyle w:val="TableParagraph"/>
              <w:spacing w:before="115"/>
              <w:ind w:left="106"/>
              <w:jc w:val="center"/>
              <w:rPr>
                <w:sz w:val="20"/>
              </w:rPr>
            </w:pPr>
            <w:r>
              <w:rPr>
                <w:sz w:val="20"/>
              </w:rPr>
              <w:t>-</w:t>
            </w:r>
          </w:p>
        </w:tc>
        <w:tc>
          <w:tcPr>
            <w:tcW w:w="3544" w:type="dxa"/>
          </w:tcPr>
          <w:p w14:paraId="23424415" w14:textId="77777777" w:rsidR="001E251E" w:rsidRPr="000A5C62" w:rsidRDefault="001E251E" w:rsidP="002B691D">
            <w:pPr>
              <w:pStyle w:val="TableParagraph"/>
              <w:spacing w:before="115"/>
              <w:ind w:left="103"/>
              <w:rPr>
                <w:sz w:val="20"/>
              </w:rPr>
            </w:pPr>
            <w:r w:rsidRPr="000A5C62">
              <w:rPr>
                <w:sz w:val="20"/>
              </w:rPr>
              <w:t>Lisans</w:t>
            </w:r>
            <w:r w:rsidRPr="000A5C62">
              <w:rPr>
                <w:spacing w:val="-3"/>
                <w:sz w:val="20"/>
              </w:rPr>
              <w:t xml:space="preserve"> </w:t>
            </w:r>
            <w:r w:rsidRPr="000A5C62">
              <w:rPr>
                <w:sz w:val="20"/>
              </w:rPr>
              <w:t>mezunu olmak.</w:t>
            </w:r>
          </w:p>
        </w:tc>
      </w:tr>
      <w:tr w:rsidR="001E251E" w14:paraId="1A1E1ABB" w14:textId="77777777" w:rsidTr="001E251E">
        <w:trPr>
          <w:trHeight w:val="690"/>
        </w:trPr>
        <w:tc>
          <w:tcPr>
            <w:tcW w:w="1418" w:type="dxa"/>
          </w:tcPr>
          <w:p w14:paraId="234F3EF2" w14:textId="77777777" w:rsidR="001E251E" w:rsidRPr="000A5C62" w:rsidRDefault="001E251E" w:rsidP="002B691D">
            <w:pPr>
              <w:pStyle w:val="TableParagraph"/>
              <w:spacing w:before="115"/>
              <w:ind w:left="107" w:right="94"/>
              <w:rPr>
                <w:b/>
                <w:sz w:val="20"/>
              </w:rPr>
            </w:pPr>
            <w:r w:rsidRPr="000A5C62">
              <w:rPr>
                <w:b/>
                <w:sz w:val="20"/>
              </w:rPr>
              <w:t>Radyo,</w:t>
            </w:r>
            <w:r w:rsidRPr="000A5C62">
              <w:rPr>
                <w:b/>
                <w:spacing w:val="26"/>
                <w:sz w:val="20"/>
              </w:rPr>
              <w:t xml:space="preserve"> </w:t>
            </w:r>
            <w:r w:rsidRPr="000A5C62">
              <w:rPr>
                <w:b/>
                <w:sz w:val="20"/>
              </w:rPr>
              <w:t>Televizyon</w:t>
            </w:r>
            <w:r w:rsidRPr="000A5C62">
              <w:rPr>
                <w:b/>
                <w:spacing w:val="26"/>
                <w:sz w:val="20"/>
              </w:rPr>
              <w:t xml:space="preserve"> </w:t>
            </w:r>
            <w:r w:rsidRPr="000A5C62">
              <w:rPr>
                <w:b/>
                <w:sz w:val="20"/>
              </w:rPr>
              <w:t>ve</w:t>
            </w:r>
            <w:r w:rsidRPr="000A5C62">
              <w:rPr>
                <w:b/>
                <w:spacing w:val="-47"/>
                <w:sz w:val="20"/>
              </w:rPr>
              <w:t xml:space="preserve"> </w:t>
            </w:r>
            <w:r w:rsidRPr="000A5C62">
              <w:rPr>
                <w:b/>
                <w:sz w:val="20"/>
              </w:rPr>
              <w:t>Sinema</w:t>
            </w:r>
          </w:p>
        </w:tc>
        <w:tc>
          <w:tcPr>
            <w:tcW w:w="1134" w:type="dxa"/>
          </w:tcPr>
          <w:p w14:paraId="322E8E2D" w14:textId="77777777" w:rsidR="001E251E" w:rsidRPr="000A5C62" w:rsidRDefault="001E251E" w:rsidP="002B691D">
            <w:pPr>
              <w:pStyle w:val="TableParagraph"/>
              <w:spacing w:before="115"/>
              <w:ind w:left="105"/>
              <w:jc w:val="center"/>
              <w:rPr>
                <w:sz w:val="20"/>
              </w:rPr>
            </w:pPr>
            <w:r w:rsidRPr="000A5C62">
              <w:rPr>
                <w:sz w:val="20"/>
              </w:rPr>
              <w:t>Tezli</w:t>
            </w:r>
            <w:r w:rsidRPr="000A5C62">
              <w:rPr>
                <w:spacing w:val="84"/>
                <w:sz w:val="20"/>
              </w:rPr>
              <w:t xml:space="preserve"> </w:t>
            </w:r>
            <w:r w:rsidRPr="000A5C62">
              <w:rPr>
                <w:sz w:val="20"/>
              </w:rPr>
              <w:t>Yüksek</w:t>
            </w:r>
          </w:p>
          <w:p w14:paraId="3F111A08" w14:textId="77777777" w:rsidR="001E251E" w:rsidRPr="000A5C62" w:rsidRDefault="001E251E" w:rsidP="002B691D">
            <w:pPr>
              <w:pStyle w:val="TableParagraph"/>
              <w:spacing w:before="1"/>
              <w:ind w:left="105"/>
              <w:jc w:val="center"/>
              <w:rPr>
                <w:sz w:val="20"/>
              </w:rPr>
            </w:pPr>
            <w:r w:rsidRPr="000A5C62">
              <w:rPr>
                <w:sz w:val="20"/>
              </w:rPr>
              <w:t>Lisans</w:t>
            </w:r>
          </w:p>
        </w:tc>
        <w:tc>
          <w:tcPr>
            <w:tcW w:w="709" w:type="dxa"/>
          </w:tcPr>
          <w:p w14:paraId="0E207BE7" w14:textId="77777777" w:rsidR="001E251E" w:rsidRPr="000A5C62" w:rsidRDefault="001E251E" w:rsidP="002B691D">
            <w:pPr>
              <w:pStyle w:val="TableParagraph"/>
              <w:jc w:val="center"/>
              <w:rPr>
                <w:sz w:val="20"/>
              </w:rPr>
            </w:pPr>
          </w:p>
          <w:p w14:paraId="0F3DFBFA" w14:textId="77777777" w:rsidR="001E251E" w:rsidRPr="000A5C62" w:rsidRDefault="001E251E" w:rsidP="002B691D">
            <w:pPr>
              <w:pStyle w:val="TableParagraph"/>
              <w:ind w:left="108"/>
              <w:jc w:val="center"/>
              <w:rPr>
                <w:sz w:val="20"/>
              </w:rPr>
            </w:pPr>
            <w:r w:rsidRPr="000A5C62">
              <w:rPr>
                <w:sz w:val="20"/>
              </w:rPr>
              <w:t>8</w:t>
            </w:r>
          </w:p>
        </w:tc>
        <w:tc>
          <w:tcPr>
            <w:tcW w:w="1417" w:type="dxa"/>
          </w:tcPr>
          <w:p w14:paraId="57F85BFE" w14:textId="77777777" w:rsidR="001E251E" w:rsidRPr="000A5C62" w:rsidRDefault="001E251E" w:rsidP="002B691D">
            <w:pPr>
              <w:pStyle w:val="TableParagraph"/>
              <w:jc w:val="center"/>
              <w:rPr>
                <w:sz w:val="20"/>
              </w:rPr>
            </w:pPr>
          </w:p>
          <w:p w14:paraId="6DEE059F" w14:textId="77777777" w:rsidR="001E251E" w:rsidRPr="000A5C62" w:rsidRDefault="001E251E" w:rsidP="001E251E">
            <w:pPr>
              <w:pStyle w:val="TableParagraph"/>
              <w:jc w:val="center"/>
              <w:rPr>
                <w:sz w:val="20"/>
              </w:rPr>
            </w:pPr>
            <w:r w:rsidRPr="000A5C62">
              <w:rPr>
                <w:w w:val="99"/>
                <w:sz w:val="20"/>
              </w:rPr>
              <w:t>8</w:t>
            </w:r>
            <w:r w:rsidRPr="008200CD">
              <w:rPr>
                <w:rStyle w:val="DipnotBavurusu"/>
                <w:w w:val="99"/>
              </w:rPr>
              <w:footnoteReference w:customMarkFollows="1" w:id="1"/>
              <w:sym w:font="Symbol" w:char="F02A"/>
            </w:r>
          </w:p>
          <w:p w14:paraId="5F5AA99C" w14:textId="77777777" w:rsidR="001E251E" w:rsidRPr="000A5C62" w:rsidRDefault="001E251E" w:rsidP="002B691D">
            <w:pPr>
              <w:pStyle w:val="TableParagraph"/>
              <w:ind w:left="212"/>
              <w:jc w:val="center"/>
              <w:rPr>
                <w:sz w:val="20"/>
              </w:rPr>
            </w:pPr>
          </w:p>
        </w:tc>
        <w:tc>
          <w:tcPr>
            <w:tcW w:w="1418" w:type="dxa"/>
          </w:tcPr>
          <w:p w14:paraId="3429A176" w14:textId="77777777" w:rsidR="001E251E" w:rsidRPr="000A5C62" w:rsidRDefault="001E251E" w:rsidP="002B691D">
            <w:pPr>
              <w:pStyle w:val="TableParagraph"/>
              <w:jc w:val="center"/>
              <w:rPr>
                <w:sz w:val="20"/>
              </w:rPr>
            </w:pPr>
          </w:p>
          <w:p w14:paraId="3C23F2E6" w14:textId="6022975E" w:rsidR="001E251E" w:rsidRPr="000A5C62" w:rsidRDefault="001E251E" w:rsidP="002B691D">
            <w:pPr>
              <w:pStyle w:val="TableParagraph"/>
              <w:ind w:left="7"/>
              <w:jc w:val="center"/>
              <w:rPr>
                <w:sz w:val="20"/>
              </w:rPr>
            </w:pPr>
            <w:r>
              <w:rPr>
                <w:sz w:val="20"/>
              </w:rPr>
              <w:t>YDS Puanı varsa % 20 oranında etki eder</w:t>
            </w:r>
          </w:p>
        </w:tc>
        <w:tc>
          <w:tcPr>
            <w:tcW w:w="1417" w:type="dxa"/>
          </w:tcPr>
          <w:p w14:paraId="4A2A42E3" w14:textId="77777777" w:rsidR="001E251E" w:rsidRPr="000A5C62" w:rsidRDefault="001E251E" w:rsidP="002B691D">
            <w:pPr>
              <w:pStyle w:val="TableParagraph"/>
              <w:jc w:val="center"/>
              <w:rPr>
                <w:sz w:val="20"/>
              </w:rPr>
            </w:pPr>
          </w:p>
          <w:p w14:paraId="5254D66E" w14:textId="77777777" w:rsidR="001E251E" w:rsidRDefault="001E251E" w:rsidP="002B691D">
            <w:pPr>
              <w:pStyle w:val="TableParagraph"/>
              <w:ind w:left="106"/>
              <w:jc w:val="center"/>
              <w:rPr>
                <w:sz w:val="20"/>
              </w:rPr>
            </w:pPr>
            <w:r>
              <w:rPr>
                <w:sz w:val="20"/>
              </w:rPr>
              <w:t xml:space="preserve">55 </w:t>
            </w:r>
          </w:p>
          <w:p w14:paraId="1BB31D3E" w14:textId="77777777" w:rsidR="001E251E" w:rsidRPr="000A5C62" w:rsidRDefault="001E251E" w:rsidP="002B691D">
            <w:pPr>
              <w:pStyle w:val="TableParagraph"/>
              <w:ind w:left="106"/>
              <w:jc w:val="center"/>
              <w:rPr>
                <w:sz w:val="20"/>
              </w:rPr>
            </w:pPr>
            <w:r w:rsidRPr="000A5C62">
              <w:rPr>
                <w:sz w:val="20"/>
              </w:rPr>
              <w:t>SÖZ</w:t>
            </w:r>
          </w:p>
        </w:tc>
        <w:tc>
          <w:tcPr>
            <w:tcW w:w="3544" w:type="dxa"/>
          </w:tcPr>
          <w:p w14:paraId="58A8900E" w14:textId="22668E95" w:rsidR="001E251E" w:rsidRDefault="001E251E" w:rsidP="002B691D">
            <w:pPr>
              <w:pStyle w:val="TableParagraph"/>
              <w:spacing w:line="230" w:lineRule="atLeast"/>
              <w:ind w:left="103" w:right="103"/>
              <w:jc w:val="both"/>
              <w:rPr>
                <w:sz w:val="20"/>
              </w:rPr>
            </w:pPr>
            <w:r w:rsidRPr="000A5C62">
              <w:rPr>
                <w:sz w:val="20"/>
              </w:rPr>
              <w:t>Fakültelerin Radyo Televizyon ve Sinema, Sinema</w:t>
            </w:r>
            <w:r w:rsidRPr="000A5C62">
              <w:rPr>
                <w:spacing w:val="-47"/>
                <w:sz w:val="20"/>
              </w:rPr>
              <w:t xml:space="preserve"> </w:t>
            </w:r>
            <w:r w:rsidRPr="000A5C62">
              <w:rPr>
                <w:sz w:val="20"/>
              </w:rPr>
              <w:t>ve</w:t>
            </w:r>
            <w:r w:rsidRPr="000A5C62">
              <w:rPr>
                <w:spacing w:val="-11"/>
                <w:sz w:val="20"/>
              </w:rPr>
              <w:t xml:space="preserve"> </w:t>
            </w:r>
            <w:r w:rsidRPr="000A5C62">
              <w:rPr>
                <w:sz w:val="20"/>
              </w:rPr>
              <w:t>Televizyon</w:t>
            </w:r>
            <w:r w:rsidRPr="000A5C62">
              <w:rPr>
                <w:spacing w:val="-11"/>
                <w:sz w:val="20"/>
              </w:rPr>
              <w:t xml:space="preserve"> </w:t>
            </w:r>
            <w:r w:rsidRPr="000A5C62">
              <w:rPr>
                <w:sz w:val="20"/>
              </w:rPr>
              <w:t>ve/veya</w:t>
            </w:r>
            <w:r w:rsidRPr="000A5C62">
              <w:rPr>
                <w:spacing w:val="-11"/>
                <w:sz w:val="20"/>
              </w:rPr>
              <w:t xml:space="preserve"> </w:t>
            </w:r>
            <w:r w:rsidRPr="000A5C62">
              <w:rPr>
                <w:sz w:val="20"/>
              </w:rPr>
              <w:t>Film</w:t>
            </w:r>
            <w:r w:rsidRPr="000A5C62">
              <w:rPr>
                <w:spacing w:val="-11"/>
                <w:sz w:val="20"/>
              </w:rPr>
              <w:t xml:space="preserve"> </w:t>
            </w:r>
            <w:r w:rsidRPr="000A5C62">
              <w:rPr>
                <w:sz w:val="20"/>
              </w:rPr>
              <w:t>Tasarımı</w:t>
            </w:r>
            <w:r w:rsidRPr="000A5C62">
              <w:rPr>
                <w:spacing w:val="-12"/>
                <w:sz w:val="20"/>
              </w:rPr>
              <w:t xml:space="preserve"> </w:t>
            </w:r>
            <w:r w:rsidRPr="000A5C62">
              <w:rPr>
                <w:sz w:val="20"/>
              </w:rPr>
              <w:t>bölümü</w:t>
            </w:r>
            <w:r w:rsidRPr="000A5C62">
              <w:rPr>
                <w:spacing w:val="-11"/>
                <w:sz w:val="20"/>
              </w:rPr>
              <w:t xml:space="preserve"> </w:t>
            </w:r>
            <w:r w:rsidRPr="000A5C62">
              <w:rPr>
                <w:sz w:val="20"/>
              </w:rPr>
              <w:t>lisans</w:t>
            </w:r>
            <w:r w:rsidRPr="000A5C62">
              <w:rPr>
                <w:spacing w:val="-48"/>
                <w:sz w:val="20"/>
              </w:rPr>
              <w:t xml:space="preserve"> </w:t>
            </w:r>
            <w:r w:rsidRPr="000A5C62">
              <w:rPr>
                <w:sz w:val="20"/>
              </w:rPr>
              <w:t>mezunu</w:t>
            </w:r>
            <w:r w:rsidRPr="000A5C62">
              <w:rPr>
                <w:spacing w:val="-2"/>
                <w:sz w:val="20"/>
              </w:rPr>
              <w:t xml:space="preserve"> </w:t>
            </w:r>
            <w:r w:rsidRPr="000A5C62">
              <w:rPr>
                <w:sz w:val="20"/>
              </w:rPr>
              <w:t>olmak.</w:t>
            </w:r>
          </w:p>
          <w:p w14:paraId="295AC401" w14:textId="2A15D3AE" w:rsidR="001E251E" w:rsidRPr="001E251E" w:rsidRDefault="001E251E" w:rsidP="001E251E">
            <w:r w:rsidRPr="00295A66">
              <w:rPr>
                <w:rStyle w:val="DipnotBavurusu"/>
                <w:sz w:val="20"/>
                <w:szCs w:val="20"/>
                <w:lang w:eastAsia="en-US" w:bidi="ar-SA"/>
              </w:rPr>
              <w:t>*</w:t>
            </w:r>
            <w:r>
              <w:t xml:space="preserve"> </w:t>
            </w:r>
            <w:r w:rsidRPr="00295A66">
              <w:t>Kamu Sanayi Toplum kontenjanından programa başvuracak adayların fakültelerin herhangi bir bölümünden lisans derecesi ile mezun olmaları yeterli olacaktır. Bu kapsamda başvuru yapacak adaylarda ilgili bölümden mezun olma şart aranmayacaktır.</w:t>
            </w:r>
          </w:p>
        </w:tc>
      </w:tr>
      <w:tr w:rsidR="001E251E" w14:paraId="357E4829" w14:textId="77777777" w:rsidTr="001E251E">
        <w:trPr>
          <w:trHeight w:val="1382"/>
        </w:trPr>
        <w:tc>
          <w:tcPr>
            <w:tcW w:w="1418" w:type="dxa"/>
          </w:tcPr>
          <w:p w14:paraId="0FF42C89" w14:textId="77777777" w:rsidR="001E251E" w:rsidRPr="000A5C62" w:rsidRDefault="001E251E" w:rsidP="002B691D">
            <w:pPr>
              <w:pStyle w:val="TableParagraph"/>
            </w:pPr>
          </w:p>
          <w:p w14:paraId="255D4AE1" w14:textId="77777777" w:rsidR="001E251E" w:rsidRPr="000A5C62" w:rsidRDefault="001E251E" w:rsidP="002B691D">
            <w:pPr>
              <w:pStyle w:val="TableParagraph"/>
              <w:spacing w:before="1"/>
              <w:rPr>
                <w:sz w:val="18"/>
              </w:rPr>
            </w:pPr>
          </w:p>
          <w:p w14:paraId="070E5BAE" w14:textId="77777777" w:rsidR="001E251E" w:rsidRPr="000A5C62" w:rsidRDefault="001E251E" w:rsidP="002B691D">
            <w:pPr>
              <w:pStyle w:val="TableParagraph"/>
              <w:ind w:left="107"/>
              <w:rPr>
                <w:b/>
                <w:sz w:val="20"/>
              </w:rPr>
            </w:pPr>
            <w:r w:rsidRPr="000A5C62">
              <w:rPr>
                <w:b/>
                <w:sz w:val="20"/>
              </w:rPr>
              <w:t>Türkiye</w:t>
            </w:r>
            <w:r w:rsidRPr="000A5C62">
              <w:rPr>
                <w:b/>
                <w:spacing w:val="-5"/>
                <w:sz w:val="20"/>
              </w:rPr>
              <w:t xml:space="preserve"> </w:t>
            </w:r>
            <w:r w:rsidRPr="000A5C62">
              <w:rPr>
                <w:b/>
                <w:sz w:val="20"/>
              </w:rPr>
              <w:t>Cumhuriyeti</w:t>
            </w:r>
          </w:p>
          <w:p w14:paraId="4CDFCFB1" w14:textId="77777777" w:rsidR="001E251E" w:rsidRPr="000A5C62" w:rsidRDefault="001E251E" w:rsidP="002B691D">
            <w:pPr>
              <w:pStyle w:val="TableParagraph"/>
              <w:ind w:left="107"/>
              <w:rPr>
                <w:b/>
                <w:sz w:val="20"/>
              </w:rPr>
            </w:pPr>
            <w:r w:rsidRPr="000A5C62">
              <w:rPr>
                <w:b/>
                <w:sz w:val="20"/>
              </w:rPr>
              <w:t>Tarihi</w:t>
            </w:r>
          </w:p>
        </w:tc>
        <w:tc>
          <w:tcPr>
            <w:tcW w:w="1134" w:type="dxa"/>
          </w:tcPr>
          <w:p w14:paraId="412F9CF5" w14:textId="77777777" w:rsidR="001E251E" w:rsidRPr="000A5C62" w:rsidRDefault="001E251E" w:rsidP="002B691D">
            <w:pPr>
              <w:pStyle w:val="TableParagraph"/>
              <w:jc w:val="center"/>
            </w:pPr>
          </w:p>
          <w:p w14:paraId="5AA52CCF" w14:textId="77777777" w:rsidR="001E251E" w:rsidRPr="000A5C62" w:rsidRDefault="001E251E" w:rsidP="002B691D">
            <w:pPr>
              <w:pStyle w:val="TableParagraph"/>
              <w:spacing w:before="1"/>
              <w:jc w:val="center"/>
              <w:rPr>
                <w:sz w:val="18"/>
              </w:rPr>
            </w:pPr>
          </w:p>
          <w:p w14:paraId="0DB4D7D2" w14:textId="77777777" w:rsidR="001E251E" w:rsidRPr="000A5C62" w:rsidRDefault="001E251E" w:rsidP="002B691D">
            <w:pPr>
              <w:pStyle w:val="TableParagraph"/>
              <w:ind w:left="105"/>
              <w:jc w:val="center"/>
              <w:rPr>
                <w:sz w:val="20"/>
              </w:rPr>
            </w:pPr>
            <w:r w:rsidRPr="000A5C62">
              <w:rPr>
                <w:sz w:val="20"/>
              </w:rPr>
              <w:t>Tezli</w:t>
            </w:r>
            <w:r w:rsidRPr="000A5C62">
              <w:rPr>
                <w:spacing w:val="84"/>
                <w:sz w:val="20"/>
              </w:rPr>
              <w:t xml:space="preserve"> </w:t>
            </w:r>
            <w:r w:rsidRPr="000A5C62">
              <w:rPr>
                <w:sz w:val="20"/>
              </w:rPr>
              <w:t>Yüksek</w:t>
            </w:r>
          </w:p>
          <w:p w14:paraId="6DC845DD" w14:textId="77777777" w:rsidR="001E251E" w:rsidRPr="000A5C62" w:rsidRDefault="001E251E" w:rsidP="002B691D">
            <w:pPr>
              <w:pStyle w:val="TableParagraph"/>
              <w:ind w:left="105"/>
              <w:jc w:val="center"/>
              <w:rPr>
                <w:sz w:val="20"/>
              </w:rPr>
            </w:pPr>
            <w:r w:rsidRPr="000A5C62">
              <w:rPr>
                <w:sz w:val="20"/>
              </w:rPr>
              <w:t>Lisans</w:t>
            </w:r>
          </w:p>
        </w:tc>
        <w:tc>
          <w:tcPr>
            <w:tcW w:w="709" w:type="dxa"/>
          </w:tcPr>
          <w:p w14:paraId="372D206E" w14:textId="77777777" w:rsidR="001E251E" w:rsidRPr="000A5C62" w:rsidRDefault="001E251E" w:rsidP="002B691D">
            <w:pPr>
              <w:pStyle w:val="TableParagraph"/>
              <w:jc w:val="center"/>
            </w:pPr>
          </w:p>
          <w:p w14:paraId="5941DA3A" w14:textId="77777777" w:rsidR="001E251E" w:rsidRPr="000A5C62" w:rsidRDefault="001E251E" w:rsidP="002B691D">
            <w:pPr>
              <w:pStyle w:val="TableParagraph"/>
              <w:spacing w:before="1"/>
              <w:jc w:val="center"/>
              <w:rPr>
                <w:sz w:val="28"/>
              </w:rPr>
            </w:pPr>
          </w:p>
          <w:p w14:paraId="4E5DBABC" w14:textId="77777777" w:rsidR="001E251E" w:rsidRPr="000A5C62" w:rsidRDefault="001E251E" w:rsidP="002B691D">
            <w:pPr>
              <w:pStyle w:val="TableParagraph"/>
              <w:ind w:left="108"/>
              <w:jc w:val="center"/>
              <w:rPr>
                <w:sz w:val="20"/>
              </w:rPr>
            </w:pPr>
            <w:r w:rsidRPr="000A5C62">
              <w:rPr>
                <w:sz w:val="20"/>
              </w:rPr>
              <w:t>16</w:t>
            </w:r>
          </w:p>
        </w:tc>
        <w:tc>
          <w:tcPr>
            <w:tcW w:w="1417" w:type="dxa"/>
          </w:tcPr>
          <w:p w14:paraId="7CD1AC10" w14:textId="77777777" w:rsidR="001E251E" w:rsidRPr="000A5C62" w:rsidRDefault="001E251E" w:rsidP="002B691D">
            <w:pPr>
              <w:pStyle w:val="TableParagraph"/>
              <w:ind w:left="361"/>
              <w:jc w:val="center"/>
            </w:pPr>
          </w:p>
          <w:p w14:paraId="12C2E5FD" w14:textId="77777777" w:rsidR="001E251E" w:rsidRPr="000A5C62" w:rsidRDefault="001E251E" w:rsidP="002B691D">
            <w:pPr>
              <w:pStyle w:val="TableParagraph"/>
              <w:ind w:left="361"/>
              <w:jc w:val="center"/>
            </w:pPr>
          </w:p>
          <w:p w14:paraId="59FDDE45" w14:textId="77777777" w:rsidR="001E251E" w:rsidRPr="000A5C62" w:rsidRDefault="001E251E" w:rsidP="002B691D">
            <w:pPr>
              <w:pStyle w:val="TableParagraph"/>
              <w:ind w:left="6"/>
              <w:jc w:val="center"/>
              <w:rPr>
                <w:sz w:val="20"/>
              </w:rPr>
            </w:pPr>
          </w:p>
        </w:tc>
        <w:tc>
          <w:tcPr>
            <w:tcW w:w="1418" w:type="dxa"/>
          </w:tcPr>
          <w:p w14:paraId="7B44E237" w14:textId="77777777" w:rsidR="001E251E" w:rsidRPr="000A5C62" w:rsidRDefault="001E251E" w:rsidP="002B691D">
            <w:pPr>
              <w:pStyle w:val="TableParagraph"/>
              <w:jc w:val="center"/>
            </w:pPr>
          </w:p>
          <w:p w14:paraId="5C2B0698" w14:textId="57CC690D" w:rsidR="001E251E" w:rsidRPr="000A5C62" w:rsidRDefault="001E251E" w:rsidP="002B691D">
            <w:pPr>
              <w:pStyle w:val="TableParagraph"/>
              <w:ind w:left="7"/>
              <w:jc w:val="center"/>
              <w:rPr>
                <w:sz w:val="20"/>
              </w:rPr>
            </w:pPr>
            <w:r>
              <w:rPr>
                <w:sz w:val="20"/>
              </w:rPr>
              <w:t>YDS Puanı varsa % 20 oranında etki eder</w:t>
            </w:r>
          </w:p>
        </w:tc>
        <w:tc>
          <w:tcPr>
            <w:tcW w:w="1417" w:type="dxa"/>
          </w:tcPr>
          <w:p w14:paraId="79A8DC9E" w14:textId="77777777" w:rsidR="001E251E" w:rsidRPr="000A5C62" w:rsidRDefault="001E251E" w:rsidP="002B691D">
            <w:pPr>
              <w:pStyle w:val="TableParagraph"/>
              <w:jc w:val="center"/>
            </w:pPr>
          </w:p>
          <w:p w14:paraId="5E248CB6" w14:textId="77777777" w:rsidR="001E251E" w:rsidRPr="000A5C62" w:rsidRDefault="001E251E" w:rsidP="002B691D">
            <w:pPr>
              <w:pStyle w:val="TableParagraph"/>
              <w:spacing w:before="1"/>
              <w:jc w:val="center"/>
              <w:rPr>
                <w:sz w:val="28"/>
              </w:rPr>
            </w:pPr>
          </w:p>
          <w:p w14:paraId="3B3710F0" w14:textId="77777777" w:rsidR="001E251E" w:rsidRDefault="001E251E" w:rsidP="002B691D">
            <w:pPr>
              <w:pStyle w:val="TableParagraph"/>
              <w:ind w:left="106"/>
              <w:jc w:val="center"/>
              <w:rPr>
                <w:sz w:val="20"/>
              </w:rPr>
            </w:pPr>
            <w:r>
              <w:rPr>
                <w:sz w:val="20"/>
              </w:rPr>
              <w:t>55</w:t>
            </w:r>
          </w:p>
          <w:p w14:paraId="4A919377" w14:textId="77777777" w:rsidR="001E251E" w:rsidRPr="000A5C62" w:rsidRDefault="001E251E" w:rsidP="002B691D">
            <w:pPr>
              <w:pStyle w:val="TableParagraph"/>
              <w:ind w:left="106"/>
              <w:jc w:val="center"/>
              <w:rPr>
                <w:sz w:val="20"/>
              </w:rPr>
            </w:pPr>
            <w:r w:rsidRPr="000A5C62">
              <w:rPr>
                <w:sz w:val="20"/>
              </w:rPr>
              <w:t>SÖZ</w:t>
            </w:r>
          </w:p>
        </w:tc>
        <w:tc>
          <w:tcPr>
            <w:tcW w:w="3544" w:type="dxa"/>
          </w:tcPr>
          <w:p w14:paraId="4DD3129F" w14:textId="77777777" w:rsidR="001E251E" w:rsidRPr="000A5C62" w:rsidRDefault="001E251E" w:rsidP="002B691D">
            <w:pPr>
              <w:pStyle w:val="TableParagraph"/>
              <w:ind w:left="103" w:right="557"/>
              <w:jc w:val="both"/>
              <w:rPr>
                <w:sz w:val="20"/>
                <w:szCs w:val="20"/>
              </w:rPr>
            </w:pPr>
            <w:r w:rsidRPr="000A5C62">
              <w:rPr>
                <w:sz w:val="20"/>
                <w:szCs w:val="20"/>
              </w:rPr>
              <w:t>Fen-Edebiyat Fakültesi, Edebiyat Fakültesi,</w:t>
            </w:r>
            <w:r w:rsidRPr="000A5C62">
              <w:rPr>
                <w:spacing w:val="1"/>
                <w:sz w:val="20"/>
                <w:szCs w:val="20"/>
              </w:rPr>
              <w:t xml:space="preserve"> </w:t>
            </w:r>
            <w:r w:rsidRPr="000A5C62">
              <w:rPr>
                <w:spacing w:val="-1"/>
                <w:sz w:val="20"/>
                <w:szCs w:val="20"/>
              </w:rPr>
              <w:t>İnsan</w:t>
            </w:r>
            <w:r w:rsidRPr="000A5C62">
              <w:rPr>
                <w:spacing w:val="-10"/>
                <w:sz w:val="20"/>
                <w:szCs w:val="20"/>
              </w:rPr>
              <w:t xml:space="preserve"> </w:t>
            </w:r>
            <w:r w:rsidRPr="000A5C62">
              <w:rPr>
                <w:spacing w:val="-1"/>
                <w:sz w:val="20"/>
                <w:szCs w:val="20"/>
              </w:rPr>
              <w:t>ve</w:t>
            </w:r>
            <w:r w:rsidRPr="000A5C62">
              <w:rPr>
                <w:spacing w:val="-14"/>
                <w:sz w:val="20"/>
                <w:szCs w:val="20"/>
              </w:rPr>
              <w:t xml:space="preserve"> </w:t>
            </w:r>
            <w:r w:rsidRPr="000A5C62">
              <w:rPr>
                <w:spacing w:val="-1"/>
                <w:sz w:val="20"/>
                <w:szCs w:val="20"/>
              </w:rPr>
              <w:t>Toplum</w:t>
            </w:r>
            <w:r w:rsidRPr="000A5C62">
              <w:rPr>
                <w:spacing w:val="-10"/>
                <w:sz w:val="20"/>
                <w:szCs w:val="20"/>
              </w:rPr>
              <w:t xml:space="preserve"> </w:t>
            </w:r>
            <w:r w:rsidRPr="000A5C62">
              <w:rPr>
                <w:spacing w:val="-1"/>
                <w:sz w:val="20"/>
                <w:szCs w:val="20"/>
              </w:rPr>
              <w:t>Bilimleri</w:t>
            </w:r>
            <w:r w:rsidRPr="000A5C62">
              <w:rPr>
                <w:spacing w:val="-11"/>
                <w:sz w:val="20"/>
                <w:szCs w:val="20"/>
              </w:rPr>
              <w:t xml:space="preserve"> </w:t>
            </w:r>
            <w:r w:rsidRPr="000A5C62">
              <w:rPr>
                <w:sz w:val="20"/>
                <w:szCs w:val="20"/>
              </w:rPr>
              <w:t>Fakültesi</w:t>
            </w:r>
            <w:r w:rsidRPr="000A5C62">
              <w:rPr>
                <w:spacing w:val="-11"/>
                <w:sz w:val="20"/>
                <w:szCs w:val="20"/>
              </w:rPr>
              <w:t xml:space="preserve"> </w:t>
            </w:r>
            <w:r w:rsidRPr="000A5C62">
              <w:rPr>
                <w:sz w:val="20"/>
                <w:szCs w:val="20"/>
              </w:rPr>
              <w:t>ve/veya</w:t>
            </w:r>
            <w:r w:rsidRPr="000A5C62">
              <w:rPr>
                <w:spacing w:val="-11"/>
                <w:sz w:val="20"/>
                <w:szCs w:val="20"/>
              </w:rPr>
              <w:t xml:space="preserve"> </w:t>
            </w:r>
            <w:r w:rsidRPr="000A5C62">
              <w:rPr>
                <w:sz w:val="20"/>
                <w:szCs w:val="20"/>
              </w:rPr>
              <w:t>Sosyal ve</w:t>
            </w:r>
            <w:r w:rsidRPr="000A5C62">
              <w:rPr>
                <w:spacing w:val="1"/>
                <w:sz w:val="20"/>
                <w:szCs w:val="20"/>
              </w:rPr>
              <w:t xml:space="preserve"> </w:t>
            </w:r>
            <w:r w:rsidRPr="000A5C62">
              <w:rPr>
                <w:sz w:val="20"/>
                <w:szCs w:val="20"/>
              </w:rPr>
              <w:t>Beşerî</w:t>
            </w:r>
            <w:r w:rsidRPr="000A5C62">
              <w:rPr>
                <w:spacing w:val="1"/>
                <w:sz w:val="20"/>
                <w:szCs w:val="20"/>
              </w:rPr>
              <w:t xml:space="preserve"> </w:t>
            </w:r>
            <w:r w:rsidRPr="000A5C62">
              <w:rPr>
                <w:sz w:val="20"/>
                <w:szCs w:val="20"/>
              </w:rPr>
              <w:t>Bilimler</w:t>
            </w:r>
            <w:r w:rsidRPr="000A5C62">
              <w:rPr>
                <w:spacing w:val="1"/>
                <w:sz w:val="20"/>
                <w:szCs w:val="20"/>
              </w:rPr>
              <w:t xml:space="preserve"> </w:t>
            </w:r>
            <w:r w:rsidRPr="000A5C62">
              <w:rPr>
                <w:sz w:val="20"/>
                <w:szCs w:val="20"/>
              </w:rPr>
              <w:t>Fakültelerinin</w:t>
            </w:r>
            <w:r w:rsidRPr="000A5C62">
              <w:rPr>
                <w:spacing w:val="1"/>
                <w:sz w:val="20"/>
                <w:szCs w:val="20"/>
              </w:rPr>
              <w:t xml:space="preserve"> </w:t>
            </w:r>
            <w:r w:rsidRPr="000A5C62">
              <w:rPr>
                <w:sz w:val="20"/>
                <w:szCs w:val="20"/>
              </w:rPr>
              <w:t>Tarih</w:t>
            </w:r>
            <w:r w:rsidRPr="000A5C62">
              <w:rPr>
                <w:spacing w:val="1"/>
                <w:sz w:val="20"/>
                <w:szCs w:val="20"/>
              </w:rPr>
              <w:t xml:space="preserve"> </w:t>
            </w:r>
            <w:r w:rsidRPr="000A5C62">
              <w:rPr>
                <w:sz w:val="20"/>
                <w:szCs w:val="20"/>
              </w:rPr>
              <w:t>Bölümlerinden mezun</w:t>
            </w:r>
            <w:r w:rsidRPr="000A5C62">
              <w:rPr>
                <w:spacing w:val="-1"/>
                <w:sz w:val="20"/>
                <w:szCs w:val="20"/>
              </w:rPr>
              <w:t xml:space="preserve"> </w:t>
            </w:r>
            <w:r w:rsidRPr="000A5C62">
              <w:rPr>
                <w:sz w:val="20"/>
                <w:szCs w:val="20"/>
              </w:rPr>
              <w:t>olmak.</w:t>
            </w:r>
          </w:p>
        </w:tc>
      </w:tr>
    </w:tbl>
    <w:p w14:paraId="1D8B2703" w14:textId="77777777" w:rsidR="000B35D9" w:rsidRDefault="000B35D9" w:rsidP="000B35D9">
      <w:pPr>
        <w:ind w:left="426"/>
        <w:rPr>
          <w:rFonts w:eastAsia="Tahoma"/>
          <w:b/>
          <w:bCs/>
          <w:color w:val="FF0000"/>
          <w:w w:val="95"/>
          <w:u w:val="single"/>
          <w14:textOutline w14:w="9525" w14:cap="rnd" w14:cmpd="sng" w14:algn="ctr">
            <w14:noFill/>
            <w14:prstDash w14:val="solid"/>
            <w14:bevel/>
          </w14:textOutline>
        </w:rPr>
      </w:pPr>
      <w:bookmarkStart w:id="1" w:name="_Hlk185340558"/>
    </w:p>
    <w:p w14:paraId="1F2AA5C4" w14:textId="569B43F6" w:rsidR="000B35D9" w:rsidRPr="0025697D" w:rsidRDefault="000B35D9" w:rsidP="000B35D9">
      <w:pPr>
        <w:tabs>
          <w:tab w:val="left" w:pos="284"/>
        </w:tabs>
        <w:ind w:left="-851"/>
        <w:rPr>
          <w:rFonts w:eastAsia="Tahoma"/>
          <w:b/>
          <w:bCs/>
          <w:color w:val="FF0000"/>
          <w:w w:val="95"/>
          <w:u w:val="single"/>
          <w14:textOutline w14:w="9525" w14:cap="rnd" w14:cmpd="sng" w14:algn="ctr">
            <w14:noFill/>
            <w14:prstDash w14:val="solid"/>
            <w14:bevel/>
          </w14:textOutline>
        </w:rPr>
      </w:pPr>
      <w:r w:rsidRPr="0025697D">
        <w:rPr>
          <w:rFonts w:eastAsia="Tahoma"/>
          <w:b/>
          <w:bCs/>
          <w:color w:val="FF0000"/>
          <w:w w:val="95"/>
          <w:u w:val="single"/>
          <w14:textOutline w14:w="9525" w14:cap="rnd" w14:cmpd="sng" w14:algn="ctr">
            <w14:noFill/>
            <w14:prstDash w14:val="solid"/>
            <w14:bevel/>
          </w14:textOutline>
        </w:rPr>
        <w:t>BAŞVURU KOŞULLARI</w:t>
      </w:r>
    </w:p>
    <w:p w14:paraId="42260B66" w14:textId="77777777" w:rsidR="000B35D9" w:rsidRPr="0025697D" w:rsidRDefault="000B35D9" w:rsidP="000B35D9">
      <w:pPr>
        <w:ind w:left="-851"/>
        <w:jc w:val="both"/>
      </w:pPr>
      <w:r w:rsidRPr="0025697D">
        <w:t>1-Belirtilen ilgili programdan mezun olmak ve belirtilen koşulları sağlıyor olmak.</w:t>
      </w:r>
    </w:p>
    <w:p w14:paraId="48900E90" w14:textId="77777777" w:rsidR="000B35D9" w:rsidRPr="0025697D" w:rsidRDefault="000B35D9" w:rsidP="000B35D9">
      <w:pPr>
        <w:ind w:left="-851"/>
        <w:jc w:val="both"/>
      </w:pPr>
      <w:r w:rsidRPr="0025697D">
        <w:t>2-Doktora programları için ilgili ALES puan türünde en az 60, tezli yüksek lisans ve ALES puanı isteyen tezsiz yüksek lisans programları için ise en az 55 puan almış olmak. ALES geçerlilik süresi 5 yıldır.</w:t>
      </w:r>
    </w:p>
    <w:p w14:paraId="598B813A" w14:textId="77777777" w:rsidR="000B35D9" w:rsidRPr="0025697D" w:rsidRDefault="000B35D9" w:rsidP="000B35D9">
      <w:pPr>
        <w:ind w:left="-851"/>
        <w:jc w:val="both"/>
      </w:pPr>
      <w:r w:rsidRPr="0025697D">
        <w:t>3- 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344EF8C3" w14:textId="77777777" w:rsidR="000B35D9" w:rsidRPr="0025697D" w:rsidRDefault="000B35D9" w:rsidP="000B35D9">
      <w:pPr>
        <w:ind w:left="-851"/>
        <w:jc w:val="both"/>
      </w:pPr>
    </w:p>
    <w:p w14:paraId="54AA1074" w14:textId="77777777" w:rsidR="000B35D9" w:rsidRPr="0025697D" w:rsidRDefault="000B35D9" w:rsidP="000B35D9">
      <w:pPr>
        <w:ind w:left="-851"/>
        <w:rPr>
          <w:rFonts w:eastAsia="Tahoma"/>
          <w:b/>
          <w:bCs/>
          <w:color w:val="FF0000"/>
          <w:w w:val="95"/>
          <w:u w:val="single"/>
          <w14:textOutline w14:w="9525" w14:cap="rnd" w14:cmpd="sng" w14:algn="ctr">
            <w14:noFill/>
            <w14:prstDash w14:val="solid"/>
            <w14:bevel/>
          </w14:textOutline>
        </w:rPr>
      </w:pPr>
      <w:r w:rsidRPr="0025697D">
        <w:rPr>
          <w:rFonts w:eastAsia="Tahoma"/>
          <w:b/>
          <w:bCs/>
          <w:color w:val="FF0000"/>
          <w:w w:val="95"/>
          <w:u w:val="single"/>
          <w14:textOutline w14:w="9525" w14:cap="rnd" w14:cmpd="sng" w14:algn="ctr">
            <w14:noFill/>
            <w14:prstDash w14:val="solid"/>
            <w14:bevel/>
          </w14:textOutline>
        </w:rPr>
        <w:t>BAŞVURU ESNASINDA ONLİNE BAŞVURU SİSTEMİNE YÜKLENMESİ GEREKEN BELGELER</w:t>
      </w:r>
    </w:p>
    <w:p w14:paraId="1B461426" w14:textId="77777777" w:rsidR="000B35D9" w:rsidRPr="0025697D" w:rsidRDefault="000B35D9" w:rsidP="000B35D9">
      <w:pPr>
        <w:ind w:left="-851"/>
        <w:jc w:val="both"/>
      </w:pPr>
      <w:r w:rsidRPr="0025697D">
        <w:t xml:space="preserve">1-Ülkemizde mezun olan adayın mezuniyet bilgileri ve sınav bilgileri web servisleri ile YÖK ve ÖSYM’den alındığından bu belgelerin yüklenmesine ihtiyaç bulunmamaktadır. Ancak, eğitimlerini yurt dışında tamamlayan </w:t>
      </w:r>
      <w:r w:rsidRPr="0025697D">
        <w:rPr>
          <w:b/>
        </w:rPr>
        <w:t>Türkiye Cumhuriyeti uyruklu adaylar</w:t>
      </w:r>
      <w:r w:rsidRPr="0025697D">
        <w:t xml:space="preserve"> mezuniyet belgelerini ve denklik belgelerini sisteme yükleyeceklerdir.</w:t>
      </w:r>
    </w:p>
    <w:p w14:paraId="41EC5A08" w14:textId="4C82AB52" w:rsidR="000B35D9" w:rsidRPr="0025697D" w:rsidRDefault="00B30F71" w:rsidP="000B35D9">
      <w:pPr>
        <w:ind w:left="-851"/>
        <w:jc w:val="both"/>
      </w:pPr>
      <w:r>
        <w:t>2</w:t>
      </w:r>
      <w:r w:rsidR="000B35D9" w:rsidRPr="0025697D">
        <w:t xml:space="preserve">-Vesikalık Fotoğraf </w:t>
      </w:r>
    </w:p>
    <w:p w14:paraId="6AB1C6D6" w14:textId="1E892D67" w:rsidR="000B35D9" w:rsidRDefault="000B35D9" w:rsidP="000B35D9">
      <w:pPr>
        <w:ind w:left="-851"/>
        <w:jc w:val="both"/>
        <w:rPr>
          <w:rFonts w:eastAsia="Tahoma"/>
          <w:b/>
          <w:bCs/>
          <w:w w:val="95"/>
          <w14:textOutline w14:w="9525" w14:cap="rnd" w14:cmpd="sng" w14:algn="ctr">
            <w14:noFill/>
            <w14:prstDash w14:val="solid"/>
            <w14:bevel/>
          </w14:textOutline>
        </w:rPr>
      </w:pPr>
    </w:p>
    <w:p w14:paraId="0F9F95F9" w14:textId="77777777" w:rsidR="000E2F2A" w:rsidRPr="0025697D" w:rsidRDefault="000E2F2A" w:rsidP="000B35D9">
      <w:pPr>
        <w:ind w:left="-851"/>
        <w:jc w:val="both"/>
        <w:rPr>
          <w:rFonts w:eastAsia="Tahoma"/>
          <w:b/>
          <w:bCs/>
          <w:w w:val="95"/>
          <w14:textOutline w14:w="9525" w14:cap="rnd" w14:cmpd="sng" w14:algn="ctr">
            <w14:noFill/>
            <w14:prstDash w14:val="solid"/>
            <w14:bevel/>
          </w14:textOutline>
        </w:rPr>
      </w:pPr>
    </w:p>
    <w:p w14:paraId="64A2F497" w14:textId="77777777" w:rsidR="000B35D9" w:rsidRPr="0025697D" w:rsidRDefault="000B35D9" w:rsidP="000B35D9">
      <w:pPr>
        <w:pStyle w:val="ListeParagraf"/>
        <w:ind w:left="-851" w:firstLine="0"/>
        <w:jc w:val="both"/>
      </w:pPr>
    </w:p>
    <w:p w14:paraId="1D443FB2" w14:textId="77777777" w:rsidR="000B35D9" w:rsidRPr="000B35D9" w:rsidRDefault="000B35D9" w:rsidP="000B35D9">
      <w:pPr>
        <w:ind w:left="-851"/>
        <w:jc w:val="both"/>
        <w:rPr>
          <w:b/>
          <w:color w:val="FF0000"/>
          <w:u w:val="single"/>
        </w:rPr>
      </w:pPr>
      <w:r w:rsidRPr="000B35D9">
        <w:rPr>
          <w:b/>
          <w:color w:val="FF0000"/>
          <w:u w:val="single"/>
        </w:rPr>
        <w:t>DEĞERLENDİRME ÖLÇÜTÜ</w:t>
      </w:r>
    </w:p>
    <w:p w14:paraId="5E4C50C6" w14:textId="4107DBC7" w:rsidR="000B35D9" w:rsidRPr="000B35D9" w:rsidRDefault="000B35D9" w:rsidP="000B35D9">
      <w:pPr>
        <w:ind w:left="-851"/>
        <w:jc w:val="both"/>
        <w:rPr>
          <w:b/>
          <w:color w:val="FF0000"/>
          <w:u w:val="single"/>
        </w:rPr>
      </w:pPr>
      <w:r w:rsidRPr="000B35D9">
        <w:rPr>
          <w:b/>
          <w:color w:val="FF0000"/>
          <w:u w:val="single"/>
        </w:rPr>
        <w:t xml:space="preserve">1-Tezsiz Yüksek Lisans: </w:t>
      </w:r>
      <w:r w:rsidRPr="000B35D9">
        <w:rPr>
          <w:bCs/>
        </w:rPr>
        <w:t>Tezsiz yüksek lisans programı değerlendirmesinde başarı notu % 100 AGNO/lisans puanından oluşur. Adayın başarılı sayılması için başarı notunun en az 50/100 olması gerekir. Puanlar en yüksekten en düşüğe doğru sıralanır ve kontenjan sayısı kadar asıl aday, asıl sayısı kadar da yedek aday belirlenir. Adayların puanlarında eşitlik olması halinde Üniversitemiz Lisansüstü Eğitim-öğretim ve Sınav Yönetmeliğinde belirtilen hükümlere göre karar verilir.</w:t>
      </w:r>
    </w:p>
    <w:p w14:paraId="30C3B637" w14:textId="77777777" w:rsidR="000B35D9" w:rsidRPr="000B35D9" w:rsidRDefault="000B35D9" w:rsidP="000B35D9">
      <w:pPr>
        <w:ind w:left="-851"/>
        <w:jc w:val="both"/>
        <w:rPr>
          <w:b/>
          <w:color w:val="FF0000"/>
          <w:u w:val="single"/>
        </w:rPr>
      </w:pPr>
    </w:p>
    <w:p w14:paraId="44A25B75" w14:textId="210BB035" w:rsidR="000B35D9" w:rsidRPr="000B35D9" w:rsidRDefault="000B35D9" w:rsidP="000B35D9">
      <w:pPr>
        <w:ind w:left="-851"/>
        <w:jc w:val="both"/>
        <w:rPr>
          <w:bCs/>
        </w:rPr>
      </w:pPr>
      <w:r w:rsidRPr="000B35D9">
        <w:rPr>
          <w:b/>
          <w:color w:val="FF0000"/>
          <w:u w:val="single"/>
        </w:rPr>
        <w:t xml:space="preserve">2-Tezli Yüksek Lisans: </w:t>
      </w:r>
      <w:r w:rsidRPr="000B35D9">
        <w:rPr>
          <w:bCs/>
        </w:rPr>
        <w:t>Tezli Yüksek Lisans Başarı notu %50 ALES, %30 AGNO/lisans ve varsa %20 yabancı dil puanlarının toplamından oluşur. Adayın başarılı sayılması için başarı notunun en az 50/100 olması gerekir. Adayların başarı notu en yüksek nottan başlamak üzere sıralanır ve ilan edilmiş kontenjan kadar asil ve yedek aday belirlenir. Eşit başarı notuna sahip olan adaylar arasından, sırasıyla, ALES puanı ve AGNO/lisans puanı yüksek olanlar tercih edilir.</w:t>
      </w:r>
    </w:p>
    <w:p w14:paraId="5873B83F" w14:textId="77777777" w:rsidR="000B35D9" w:rsidRPr="0025697D" w:rsidRDefault="000B35D9" w:rsidP="000B35D9">
      <w:pPr>
        <w:ind w:left="-851"/>
        <w:jc w:val="both"/>
      </w:pPr>
    </w:p>
    <w:bookmarkEnd w:id="1"/>
    <w:p w14:paraId="6BCBA2A4" w14:textId="77777777" w:rsidR="000E2F2A" w:rsidRDefault="000E2F2A" w:rsidP="000E2F2A">
      <w:pPr>
        <w:jc w:val="center"/>
      </w:pPr>
      <w:r>
        <w:lastRenderedPageBreak/>
        <w:t>SOSYAL BİLİMLER ENSTİTÜSÜ</w:t>
      </w:r>
    </w:p>
    <w:p w14:paraId="7E2B50EE" w14:textId="77777777" w:rsidR="000E2F2A" w:rsidRDefault="000E2F2A" w:rsidP="000E2F2A">
      <w:pPr>
        <w:jc w:val="center"/>
      </w:pPr>
      <w:r>
        <w:t>İLETİŞİM BİLGİLERİ</w:t>
      </w:r>
    </w:p>
    <w:p w14:paraId="5ECCB544" w14:textId="77777777" w:rsidR="000E2F2A" w:rsidRDefault="000E2F2A" w:rsidP="000E2F2A">
      <w:pPr>
        <w:jc w:val="center"/>
      </w:pPr>
      <w:r>
        <w:t>BAŞVURU ADRESİ</w:t>
      </w:r>
    </w:p>
    <w:p w14:paraId="6E52E6D0" w14:textId="77777777" w:rsidR="000E2F2A" w:rsidRDefault="000E2F2A" w:rsidP="000E2F2A">
      <w:pPr>
        <w:jc w:val="center"/>
      </w:pPr>
      <w:r>
        <w:t>https://obs.dicle.edu.tr/oibs/ina_app/</w:t>
      </w:r>
    </w:p>
    <w:p w14:paraId="7D6DB617" w14:textId="77777777" w:rsidR="000E2F2A" w:rsidRDefault="000E2F2A" w:rsidP="000E2F2A">
      <w:pPr>
        <w:jc w:val="center"/>
      </w:pPr>
      <w:r>
        <w:t>Enstitü web adresi: http://www.dicle.edu.tr/birimler/sosyal-bilimler-enstitusu</w:t>
      </w:r>
    </w:p>
    <w:p w14:paraId="74EF8C5C" w14:textId="77777777" w:rsidR="000E2F2A" w:rsidRDefault="000E2F2A" w:rsidP="000E2F2A">
      <w:pPr>
        <w:jc w:val="center"/>
      </w:pPr>
    </w:p>
    <w:p w14:paraId="24E896F1" w14:textId="77777777" w:rsidR="000E2F2A" w:rsidRDefault="000E2F2A" w:rsidP="000E2F2A">
      <w:pPr>
        <w:jc w:val="center"/>
      </w:pPr>
      <w:r>
        <w:t>Telefon: 0412 241 10 10  -  Dâhili: 8778/8455/8480/8487</w:t>
      </w:r>
    </w:p>
    <w:p w14:paraId="36BD5002" w14:textId="07A75124" w:rsidR="0085558C" w:rsidRDefault="0085558C" w:rsidP="000B35D9">
      <w:pPr>
        <w:ind w:left="-851"/>
      </w:pPr>
    </w:p>
    <w:sectPr w:rsidR="008555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13BA" w14:textId="77777777" w:rsidR="00C62531" w:rsidRDefault="00C62531" w:rsidP="0085558C">
      <w:r>
        <w:separator/>
      </w:r>
    </w:p>
  </w:endnote>
  <w:endnote w:type="continuationSeparator" w:id="0">
    <w:p w14:paraId="3AF72F33" w14:textId="77777777" w:rsidR="00C62531" w:rsidRDefault="00C62531" w:rsidP="0085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3F45" w14:textId="77777777" w:rsidR="00C62531" w:rsidRDefault="00C62531" w:rsidP="0085558C">
      <w:r>
        <w:separator/>
      </w:r>
    </w:p>
  </w:footnote>
  <w:footnote w:type="continuationSeparator" w:id="0">
    <w:p w14:paraId="78F342D8" w14:textId="77777777" w:rsidR="00C62531" w:rsidRDefault="00C62531" w:rsidP="0085558C">
      <w:r>
        <w:continuationSeparator/>
      </w:r>
    </w:p>
  </w:footnote>
  <w:footnote w:id="1">
    <w:p w14:paraId="48A32409" w14:textId="77777777" w:rsidR="001E251E" w:rsidRDefault="001E251E" w:rsidP="001E251E">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501A"/>
    <w:multiLevelType w:val="hybridMultilevel"/>
    <w:tmpl w:val="6360E6E8"/>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8C"/>
    <w:rsid w:val="0005113F"/>
    <w:rsid w:val="000B35D9"/>
    <w:rsid w:val="000E2F2A"/>
    <w:rsid w:val="001E251E"/>
    <w:rsid w:val="0062410D"/>
    <w:rsid w:val="0085558C"/>
    <w:rsid w:val="0086233A"/>
    <w:rsid w:val="00883545"/>
    <w:rsid w:val="00B30F71"/>
    <w:rsid w:val="00BD5C51"/>
    <w:rsid w:val="00C62531"/>
    <w:rsid w:val="00C860F5"/>
    <w:rsid w:val="00CC0F0D"/>
    <w:rsid w:val="00E07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C96C"/>
  <w15:chartTrackingRefBased/>
  <w15:docId w15:val="{9FA64FFE-3734-49E6-9C03-4244CC2E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558C"/>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558C"/>
    <w:pPr>
      <w:ind w:left="819" w:hanging="283"/>
    </w:pPr>
  </w:style>
  <w:style w:type="character" w:styleId="Kpr">
    <w:name w:val="Hyperlink"/>
    <w:basedOn w:val="VarsaylanParagrafYazTipi"/>
    <w:uiPriority w:val="99"/>
    <w:unhideWhenUsed/>
    <w:rsid w:val="0085558C"/>
    <w:rPr>
      <w:color w:val="0000FF" w:themeColor="hyperlink"/>
      <w:u w:val="single"/>
    </w:rPr>
  </w:style>
  <w:style w:type="table" w:styleId="TabloKlavuzu">
    <w:name w:val="Table Grid"/>
    <w:basedOn w:val="NormalTablo"/>
    <w:uiPriority w:val="59"/>
    <w:rsid w:val="0085558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555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558C"/>
    <w:rPr>
      <w:lang w:eastAsia="en-US" w:bidi="ar-SA"/>
    </w:rPr>
  </w:style>
  <w:style w:type="paragraph" w:styleId="DipnotMetni">
    <w:name w:val="footnote text"/>
    <w:basedOn w:val="Normal"/>
    <w:link w:val="DipnotMetniChar"/>
    <w:uiPriority w:val="99"/>
    <w:semiHidden/>
    <w:unhideWhenUsed/>
    <w:rsid w:val="0085558C"/>
    <w:rPr>
      <w:sz w:val="20"/>
      <w:szCs w:val="20"/>
      <w:lang w:eastAsia="en-US" w:bidi="ar-SA"/>
    </w:rPr>
  </w:style>
  <w:style w:type="character" w:customStyle="1" w:styleId="DipnotMetniChar">
    <w:name w:val="Dipnot Metni Char"/>
    <w:basedOn w:val="VarsaylanParagrafYazTipi"/>
    <w:link w:val="DipnotMetni"/>
    <w:uiPriority w:val="99"/>
    <w:semiHidden/>
    <w:rsid w:val="0085558C"/>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8555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s.dicle.edu.tr/oibs/ina_app/logi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1007</Words>
  <Characters>5740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2024-12-17T11:52:00Z</dcterms:created>
  <dcterms:modified xsi:type="dcterms:W3CDTF">2025-01-15T13:19:00Z</dcterms:modified>
</cp:coreProperties>
</file>