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65" w:rsidRPr="00DB3052" w:rsidRDefault="00240165" w:rsidP="00DB3052">
      <w:pPr>
        <w:spacing w:before="56" w:after="0" w:line="480" w:lineRule="auto"/>
        <w:jc w:val="center"/>
        <w:rPr>
          <w:rFonts w:ascii="Times New Roman" w:eastAsia="ヒラギノ明朝 Pro W3" w:hAnsi="Times New Roman" w:cs="Times New Roman"/>
          <w:b/>
          <w:sz w:val="28"/>
          <w:szCs w:val="28"/>
        </w:rPr>
      </w:pPr>
      <w:r w:rsidRPr="00DB3052">
        <w:rPr>
          <w:rFonts w:ascii="Times New Roman" w:eastAsia="ヒラギノ明朝 Pro W3" w:hAnsi="Times New Roman" w:cs="Times New Roman"/>
          <w:b/>
          <w:sz w:val="28"/>
          <w:szCs w:val="28"/>
        </w:rPr>
        <w:t xml:space="preserve">DİCLE ÜNİVERSİTESİ VETERİNER FAKÜLTESİ </w:t>
      </w:r>
    </w:p>
    <w:p w:rsidR="00240165" w:rsidRPr="00DB3052" w:rsidRDefault="00240165" w:rsidP="00DB3052">
      <w:pPr>
        <w:spacing w:after="226" w:line="480" w:lineRule="auto"/>
        <w:jc w:val="center"/>
        <w:rPr>
          <w:rFonts w:ascii="Times New Roman" w:eastAsia="ヒラギノ明朝 Pro W3" w:hAnsi="Times New Roman" w:cs="Times New Roman"/>
          <w:b/>
          <w:sz w:val="28"/>
          <w:szCs w:val="28"/>
        </w:rPr>
      </w:pPr>
      <w:r w:rsidRPr="00DB3052">
        <w:rPr>
          <w:rFonts w:ascii="Times New Roman" w:eastAsia="ヒラギノ明朝 Pro W3" w:hAnsi="Times New Roman" w:cs="Times New Roman"/>
          <w:b/>
          <w:sz w:val="28"/>
          <w:szCs w:val="28"/>
        </w:rPr>
        <w:t>EĞİTİM-ÖĞRETİM VE SINAV YÖNETMELİĞİ</w:t>
      </w:r>
    </w:p>
    <w:p w:rsidR="00240165" w:rsidRPr="00DB3052" w:rsidRDefault="00240165" w:rsidP="00DB3052">
      <w:pPr>
        <w:tabs>
          <w:tab w:val="left" w:pos="566"/>
        </w:tabs>
        <w:spacing w:after="0" w:line="480" w:lineRule="auto"/>
        <w:ind w:firstLine="566"/>
        <w:jc w:val="both"/>
        <w:rPr>
          <w:rFonts w:ascii="Times New Roman" w:eastAsia="ヒラギノ明朝 Pro W3" w:hAnsi="Times New Roman" w:cs="Times New Roman"/>
          <w:sz w:val="28"/>
          <w:szCs w:val="28"/>
        </w:rPr>
      </w:pPr>
      <w:r w:rsidRPr="00DB3052">
        <w:rPr>
          <w:rFonts w:ascii="Times New Roman" w:eastAsia="ヒラギノ明朝 Pro W3" w:hAnsi="Times New Roman" w:cs="Times New Roman"/>
          <w:b/>
          <w:sz w:val="28"/>
          <w:szCs w:val="28"/>
        </w:rPr>
        <w:t>MADDE 23 –</w:t>
      </w:r>
      <w:r w:rsidRPr="00DB3052">
        <w:rPr>
          <w:rFonts w:ascii="Times New Roman" w:eastAsia="ヒラギノ明朝 Pro W3" w:hAnsi="Times New Roman" w:cs="Times New Roman"/>
          <w:sz w:val="28"/>
          <w:szCs w:val="28"/>
        </w:rPr>
        <w:t xml:space="preserve"> (1) Öğrenci üçüncü yarıyıldan itibaren, önkoşullu olan dersler dışında ve haftalık alabilecekleri en çok saat sınırının izin verdiği ve ders saatleri çakışmadığı ölçüde danışmanının onayı ile üst yarıyıl programından ders alabilir. Öğrencilerden akademik başarı not ortalamaları 70-84 arasında olanlar bir ders, 85 ve üstü olanlar ise iki ders alabilirler.</w:t>
      </w:r>
    </w:p>
    <w:p w:rsidR="00240165" w:rsidRPr="00DB3052" w:rsidRDefault="00DB3052" w:rsidP="00DB3052">
      <w:pPr>
        <w:tabs>
          <w:tab w:val="left" w:pos="566"/>
        </w:tabs>
        <w:spacing w:after="0" w:line="480" w:lineRule="auto"/>
        <w:ind w:firstLine="566"/>
        <w:jc w:val="both"/>
        <w:rPr>
          <w:rFonts w:ascii="Times New Roman" w:eastAsia="ヒラギノ明朝 Pro W3" w:hAnsi="Times New Roman" w:cs="Times New Roman"/>
          <w:sz w:val="28"/>
          <w:szCs w:val="28"/>
        </w:rPr>
      </w:pPr>
      <w:r>
        <w:rPr>
          <w:rFonts w:ascii="Times New Roman" w:eastAsia="ヒラギノ明朝 Pro W3" w:hAnsi="Times New Roman" w:cs="Times New Roman"/>
          <w:sz w:val="28"/>
          <w:szCs w:val="28"/>
        </w:rPr>
        <w:t xml:space="preserve"> </w:t>
      </w:r>
    </w:p>
    <w:p w:rsidR="00240165" w:rsidRPr="00DB3052" w:rsidRDefault="00240165" w:rsidP="00DB3052">
      <w:pPr>
        <w:tabs>
          <w:tab w:val="left" w:pos="566"/>
        </w:tabs>
        <w:spacing w:after="0" w:line="480" w:lineRule="auto"/>
        <w:ind w:firstLine="566"/>
        <w:jc w:val="both"/>
        <w:rPr>
          <w:rFonts w:ascii="Times New Roman" w:eastAsia="ヒラギノ明朝 Pro W3" w:hAnsi="Times New Roman" w:cs="Times New Roman"/>
          <w:sz w:val="28"/>
          <w:szCs w:val="28"/>
        </w:rPr>
      </w:pPr>
      <w:r w:rsidRPr="00DB3052">
        <w:rPr>
          <w:rFonts w:ascii="Times New Roman" w:eastAsia="ヒラギノ明朝 Pro W3" w:hAnsi="Times New Roman" w:cs="Times New Roman"/>
          <w:sz w:val="28"/>
          <w:szCs w:val="28"/>
        </w:rPr>
        <w:t xml:space="preserve">(2) Bu Yönetmelik hükümleri gereğince muaf edildikleri dersler nedeniyle üst yarıyıldan ders almalarına izin verilenler bu maddedeki üstten ders alabilme başarı koşullarına tabi değildirler. İkinci sınıftan itibaren haftalık 40 saati aşmamak ve ders saatlerinin çakışmaması kaydıyla </w:t>
      </w:r>
      <w:r w:rsidR="00DB3052">
        <w:rPr>
          <w:rFonts w:ascii="Times New Roman" w:eastAsia="ヒラギノ明朝 Pro W3" w:hAnsi="Times New Roman" w:cs="Times New Roman"/>
          <w:sz w:val="28"/>
          <w:szCs w:val="28"/>
        </w:rPr>
        <w:t xml:space="preserve">muaf oldukları derse eşit AKTS veya kredi kadar dersi </w:t>
      </w:r>
      <w:r w:rsidRPr="00DB3052">
        <w:rPr>
          <w:rFonts w:ascii="Times New Roman" w:eastAsia="ヒラギノ明朝 Pro W3" w:hAnsi="Times New Roman" w:cs="Times New Roman"/>
          <w:sz w:val="28"/>
          <w:szCs w:val="28"/>
        </w:rPr>
        <w:t>danışmanın onayı ile üst yarıyıldan ders alabilirler.</w:t>
      </w:r>
    </w:p>
    <w:p w:rsidR="00DB3052" w:rsidRDefault="00DB3052" w:rsidP="00DB3052">
      <w:pPr>
        <w:spacing w:after="0" w:line="480" w:lineRule="auto"/>
        <w:ind w:firstLine="566"/>
        <w:jc w:val="both"/>
        <w:rPr>
          <w:rFonts w:ascii="Times New Roman" w:eastAsia="Times New Roman" w:hAnsi="Times New Roman" w:cs="Times New Roman"/>
          <w:sz w:val="28"/>
          <w:szCs w:val="28"/>
          <w:lang w:eastAsia="tr-TR"/>
        </w:rPr>
      </w:pPr>
    </w:p>
    <w:p w:rsidR="00240165" w:rsidRPr="00DB3052" w:rsidRDefault="00240165" w:rsidP="00DB3052">
      <w:pPr>
        <w:spacing w:after="0" w:line="480" w:lineRule="auto"/>
        <w:ind w:firstLine="566"/>
        <w:jc w:val="both"/>
        <w:rPr>
          <w:rFonts w:ascii="Times New Roman" w:eastAsia="Times New Roman" w:hAnsi="Times New Roman" w:cs="Times New Roman"/>
          <w:sz w:val="28"/>
          <w:szCs w:val="28"/>
          <w:lang w:eastAsia="tr-TR"/>
        </w:rPr>
      </w:pPr>
      <w:r w:rsidRPr="00DB3052">
        <w:rPr>
          <w:rFonts w:ascii="Times New Roman" w:eastAsia="Times New Roman" w:hAnsi="Times New Roman" w:cs="Times New Roman"/>
          <w:sz w:val="28"/>
          <w:szCs w:val="28"/>
          <w:lang w:eastAsia="tr-TR"/>
        </w:rPr>
        <w:t>(3) Muafiyet ve başarıdan dolayı bir üst yarıyıldan ders alması sebebiyle bulunduğu dönemde daha önce ders/dersler alıp başarılı olan öğrencilere, muaf oldukları kredi kadar bu Yönetmelik hükümleri çerçevesinde bir üst yarıyıldan ders/dersler verilebilir.</w:t>
      </w:r>
      <w:bookmarkStart w:id="0" w:name="_GoBack"/>
      <w:bookmarkEnd w:id="0"/>
    </w:p>
    <w:p w:rsidR="00240165" w:rsidRPr="00DB3052" w:rsidRDefault="00240165" w:rsidP="00DB3052">
      <w:pPr>
        <w:spacing w:line="480" w:lineRule="auto"/>
        <w:rPr>
          <w:rFonts w:ascii="Times New Roman" w:hAnsi="Times New Roman" w:cs="Times New Roman"/>
          <w:sz w:val="28"/>
          <w:szCs w:val="28"/>
        </w:rPr>
      </w:pPr>
    </w:p>
    <w:sectPr w:rsidR="00240165" w:rsidRPr="00DB30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6B"/>
    <w:rsid w:val="00240165"/>
    <w:rsid w:val="005271C2"/>
    <w:rsid w:val="0067076B"/>
    <w:rsid w:val="00834E68"/>
    <w:rsid w:val="008C2C51"/>
    <w:rsid w:val="00DB30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1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1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163</Words>
  <Characters>932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4</cp:revision>
  <dcterms:created xsi:type="dcterms:W3CDTF">2022-09-05T13:02:00Z</dcterms:created>
  <dcterms:modified xsi:type="dcterms:W3CDTF">2022-09-05T13:24:00Z</dcterms:modified>
</cp:coreProperties>
</file>