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C23377" w:rsidTr="007F4D21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C23377" w:rsidRDefault="00C7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EB6821" w:rsidRPr="00EB6821">
              <w:rPr>
                <w:rFonts w:ascii="Times New Roman" w:hAnsi="Times New Roman" w:cs="Times New Roman"/>
              </w:rPr>
              <w:t xml:space="preserve"> Bilimler Enstitüsü Müdürlüğü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7F4D21" w:rsidP="00EB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Dr.,Doç.Dr. v</w:t>
            </w:r>
            <w:r w:rsidRPr="00EB6821">
              <w:rPr>
                <w:rFonts w:ascii="Times New Roman" w:hAnsi="Times New Roman" w:cs="Times New Roman"/>
              </w:rPr>
              <w:t>eya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6821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Müdür Yardımcısı (Eğitim-Öğretim İşleri)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7F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7F4D21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7F4D21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Müdür/Rektör</w:t>
            </w:r>
          </w:p>
        </w:tc>
      </w:tr>
      <w:tr w:rsidR="00D4376A" w:rsidRPr="00C23377" w:rsidTr="007F4D2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EB6821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Enstitü Akademik ve İdari Personeli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B6821" w:rsidRDefault="00EB6821" w:rsidP="007F4D2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İlgili Mevzuat çerçevesinde, Enstitünün vizyonu ve misyonu doğrultusunda eğitim-öğretim ve bilimsel araştırma faaliyetlerinin etkinlik, verimlilik ve etik ilkelerine göre planlanması, örgütlenmesi, yönlendirilmesi, koordine edilmesi, kararlar alınması ve denetlenmesi için Müdüre yardımcı olunması, Müdür görev başında olmadığı zama</w:t>
            </w:r>
            <w:r w:rsidR="00154223">
              <w:rPr>
                <w:rFonts w:ascii="Times New Roman" w:hAnsi="Times New Roman" w:cs="Times New Roman"/>
              </w:rPr>
              <w:t>nlarda Müdüre vekalet edilmesi.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C63A4A">
            <w:pPr>
              <w:spacing w:line="360" w:lineRule="auto"/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54223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bCs/>
                <w:color w:val="000000" w:themeColor="text1"/>
              </w:rPr>
              <w:t>Enstitünün tüm sevk ve idaresinde Müdüre birinci derecede yardımcı olmak.</w:t>
            </w:r>
          </w:p>
          <w:p w:rsidR="005811CE" w:rsidRPr="00C63A4A" w:rsidRDefault="005811CE" w:rsidP="007F4D21">
            <w:pPr>
              <w:pStyle w:val="ListeParagraf"/>
              <w:numPr>
                <w:ilvl w:val="0"/>
                <w:numId w:val="17"/>
              </w:numPr>
              <w:ind w:left="10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 xml:space="preserve">Enstitüde eğitim-öğretimin düzenli bir </w:t>
            </w:r>
            <w:r>
              <w:rPr>
                <w:rFonts w:ascii="Times New Roman" w:hAnsi="Times New Roman" w:cs="Times New Roman"/>
                <w:color w:val="000000" w:themeColor="text1"/>
              </w:rPr>
              <w:t>şekilde sürdürülmesini sağlamak,</w:t>
            </w:r>
            <w:r w:rsidRPr="0058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5811CE">
              <w:rPr>
                <w:rFonts w:ascii="Times New Roman" w:hAnsi="Times New Roman" w:cs="Times New Roman"/>
                <w:color w:val="000000" w:themeColor="text1"/>
              </w:rPr>
              <w:t>ğitim-öğretim ile ilgili sorunların tespit edilmesinde ve çözüme kavuşturulmasında Müdüre yardımcı olmak.</w:t>
            </w:r>
            <w:r w:rsidRPr="00C63A4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C63A4A" w:rsidRPr="00C63A4A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Ders planları, okutulacak dersler, yeni açılacak dersler ve sınav programları ile ilgili çalışmaları planlamak</w:t>
            </w:r>
            <w:r w:rsidR="00C63A4A" w:rsidRPr="005811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C63A4A" w:rsidRPr="005811CE" w:rsidRDefault="00C63A4A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 ve öğretimin uygulanmasında gözetim, denetim, ölçme ve değerlendirme faaliyetlerinde bulunmak.</w:t>
            </w:r>
          </w:p>
          <w:p w:rsidR="005811CE" w:rsidRPr="00C63A4A" w:rsidRDefault="00C63A4A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 ve öğretimle ilgili duyuruların Enstitü veya Üniversite web sayfasında yayınlanmasını sağlamak,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Eğitim-öğretim programlarının geliştirilmesi için gerekli ortamı hazırlamak, bunlarla ilgili politikalar ve stratejiler belirlemek ve yürütülen programların çıktı yeterliliklerinin belirlenmesini sağlamak,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Programların akredite edilmesi için gerekli çalışmaları yapmak,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Yeni anabilim dalları açılması ve mevcut olanları yapılandırılması veya kapatılması için çalışma yapmak.</w:t>
            </w:r>
          </w:p>
          <w:p w:rsidR="005811CE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Enstitü ile yerli ve yabancı eğitim kurumları arasındaki işbirliklerini ve öğrenci dış ilişkilerini (Farabi, Mevlana, Erasmus, Leonardo vb.) yürütmek,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811CE" w:rsidRPr="00C63A4A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Eğitim-öğretime ilişkin dünyadaki ve Türkiye’deki son gelişmeleri takip etmek ve Enstitüde uygulanması hususunda Müdüre yardımcı olmak,</w:t>
            </w:r>
          </w:p>
          <w:p w:rsidR="005811CE" w:rsidRPr="005811CE" w:rsidRDefault="00154223" w:rsidP="007F4D21">
            <w:pPr>
              <w:pStyle w:val="ListeParagraf"/>
              <w:numPr>
                <w:ilvl w:val="0"/>
                <w:numId w:val="17"/>
              </w:numPr>
              <w:ind w:left="10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color w:val="000000" w:themeColor="text1"/>
              </w:rPr>
              <w:t>Enstitüdeki eğitim-öğretim faaliyetlerini ilgilendiren mevzuatı sürekli takip etmek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54223" w:rsidRPr="00D734D7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34D7">
              <w:rPr>
                <w:rFonts w:ascii="Times New Roman" w:hAnsi="Times New Roman" w:cs="Times New Roman"/>
                <w:iCs/>
                <w:color w:val="000000" w:themeColor="text1"/>
              </w:rPr>
              <w:t>Tez yazımlarının tez yazım kurallarına uygunluğunu incelemek,</w:t>
            </w:r>
          </w:p>
          <w:p w:rsidR="005811CE" w:rsidRPr="00D734D7" w:rsidRDefault="005811CE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34D7">
              <w:rPr>
                <w:rFonts w:ascii="Times New Roman" w:hAnsi="Times New Roman" w:cs="Times New Roman"/>
                <w:bCs/>
                <w:color w:val="000000" w:themeColor="text1"/>
              </w:rPr>
              <w:t>Enstitü Yönetim Kurulu ve Enstitü Kuruluna katılmak</w:t>
            </w:r>
            <w:r w:rsidR="00D734D7" w:rsidRPr="00D734D7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  <w:p w:rsidR="00D734D7" w:rsidRPr="00D734D7" w:rsidRDefault="00D734D7" w:rsidP="007F4D21">
            <w:pPr>
              <w:pStyle w:val="ListeParagraf"/>
              <w:numPr>
                <w:ilvl w:val="0"/>
                <w:numId w:val="18"/>
              </w:numPr>
              <w:ind w:left="103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4D21">
              <w:rPr>
                <w:rFonts w:ascii="Times New Roman" w:hAnsi="Times New Roman" w:cs="Times New Roman"/>
              </w:rPr>
              <w:t>Diğer Müdür yardımcısının (İdari ve Mali İşler) görevi başında bulunmadığı zamanlarda onun görevlerini yapmak</w:t>
            </w:r>
            <w:r w:rsidRPr="00A853F1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  <w:p w:rsidR="00A239A7" w:rsidRPr="00A239A7" w:rsidRDefault="00A239A7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239A7">
              <w:rPr>
                <w:rFonts w:ascii="Times New Roman" w:hAnsi="Times New Roman" w:cs="Times New Roman"/>
                <w:bCs/>
                <w:color w:val="000000" w:themeColor="text1"/>
              </w:rPr>
              <w:t>Enstitü Müdürünün görevli ya da izinli olduğu süreler içerisinde vekalet etmek.</w:t>
            </w:r>
            <w:r w:rsidRPr="00A239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:rsidR="00154223" w:rsidRPr="005811CE" w:rsidRDefault="00154223" w:rsidP="007F4D21">
            <w:pPr>
              <w:numPr>
                <w:ilvl w:val="0"/>
                <w:numId w:val="17"/>
              </w:numPr>
              <w:spacing w:line="276" w:lineRule="auto"/>
              <w:ind w:left="10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Enstitü Müdürünün </w:t>
            </w:r>
            <w:r w:rsidR="005811CE" w:rsidRPr="005811CE">
              <w:rPr>
                <w:rFonts w:ascii="Times New Roman" w:hAnsi="Times New Roman" w:cs="Times New Roman"/>
                <w:color w:val="000000" w:themeColor="text1"/>
              </w:rPr>
              <w:t>görev alanı ile ilgili vereceği diğer görevleri yapmak</w:t>
            </w:r>
          </w:p>
          <w:p w:rsidR="00D4376A" w:rsidRPr="007F4D21" w:rsidRDefault="00154223" w:rsidP="007F4D21">
            <w:pPr>
              <w:widowControl w:val="0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pacing w:line="276" w:lineRule="auto"/>
              <w:ind w:left="1033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11CE">
              <w:rPr>
                <w:rFonts w:ascii="Times New Roman" w:hAnsi="Times New Roman" w:cs="Times New Roman"/>
                <w:iCs/>
                <w:color w:val="000000" w:themeColor="text1"/>
              </w:rPr>
              <w:t>Enstitü Müdür Yardımcıları, yukarıda belirlenen görevlerini yerine getirmede Enstitü Müdürü adına hareket ederler ve Enstitü Müdürüne karşı sorumludur.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7F4D2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7F4D2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7F4D21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</w:t>
            </w:r>
            <w:r w:rsidR="00154223">
              <w:rPr>
                <w:rFonts w:ascii="Times New Roman" w:hAnsi="Times New Roman" w:cs="Times New Roman"/>
              </w:rPr>
              <w:t>Zihinsel Çaba                [ X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7F4D21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EB6821" w:rsidP="007F4D2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7A151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Vizyon sahibi,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Önderlik yeteneğine sahip,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yenileyen,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Araştırıcı ve meraklı,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Mevzuatı t</w:t>
            </w:r>
            <w:r w:rsidR="00154223">
              <w:rPr>
                <w:rFonts w:ascii="Times New Roman" w:hAnsi="Times New Roman" w:cs="Times New Roman"/>
              </w:rPr>
              <w:t>akip edebilen, yorum yapabilen,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Sorgulayıcı,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Yaratıcı,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Kendine güvenen,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Hızlı, düzenli ve dikkatli,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 verici ve problem çözücü,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Analitik d</w:t>
            </w:r>
            <w:r w:rsidR="00154223">
              <w:rPr>
                <w:rFonts w:ascii="Times New Roman" w:hAnsi="Times New Roman" w:cs="Times New Roman"/>
              </w:rPr>
              <w:t>üşünebilen ve analiz yapabilen,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Empati kurabilen,</w:t>
            </w:r>
          </w:p>
          <w:p w:rsidR="00EB6821" w:rsidRPr="00EB6821" w:rsidRDefault="00EB6821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Etkin yazılı ve s</w:t>
            </w:r>
            <w:r w:rsidR="00154223">
              <w:rPr>
                <w:rFonts w:ascii="Times New Roman" w:hAnsi="Times New Roman" w:cs="Times New Roman"/>
              </w:rPr>
              <w:t>özlü iletişim yeteneğine sahip,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İkna kabiliyeti yüksek,</w:t>
            </w:r>
          </w:p>
          <w:p w:rsidR="00EB6821" w:rsidRPr="00EB6821" w:rsidRDefault="00154223" w:rsidP="00EB682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 yönetimini iyi yapabilen,</w:t>
            </w:r>
          </w:p>
          <w:p w:rsidR="00EB6821" w:rsidRPr="007F4D21" w:rsidRDefault="00154223" w:rsidP="00054B8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lışabilen.</w:t>
            </w:r>
          </w:p>
        </w:tc>
      </w:tr>
      <w:tr w:rsidR="00017C48" w:rsidRPr="00C23377" w:rsidTr="007F4D21">
        <w:tc>
          <w:tcPr>
            <w:tcW w:w="10040" w:type="dxa"/>
            <w:gridSpan w:val="3"/>
          </w:tcPr>
          <w:p w:rsidR="00017C48" w:rsidRDefault="003B5DD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7F4D21" w:rsidRPr="00C23377" w:rsidRDefault="007F4D21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F4D21" w:rsidP="007F4D2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7F4D21">
        <w:tc>
          <w:tcPr>
            <w:tcW w:w="10040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75773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757731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757731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757731">
              <w:rPr>
                <w:rFonts w:ascii="Times New Roman" w:hAnsi="Times New Roman" w:cs="Times New Roman"/>
              </w:rPr>
              <w:t>(</w:t>
            </w:r>
            <w:r w:rsidRPr="00757731">
              <w:rPr>
                <w:rFonts w:ascii="Times New Roman" w:hAnsi="Times New Roman" w:cs="Times New Roman"/>
                <w:b/>
              </w:rPr>
              <w:t xml:space="preserve"> </w:t>
            </w:r>
            <w:r w:rsidR="007F4D21">
              <w:rPr>
                <w:rFonts w:ascii="Times New Roman" w:hAnsi="Times New Roman" w:cs="Times New Roman"/>
                <w:b/>
              </w:rPr>
              <w:t>Müdür</w:t>
            </w:r>
            <w:r w:rsidRPr="00757731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757731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F4D21" w:rsidRDefault="007F4D21" w:rsidP="007F4D2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F4D21" w:rsidP="007F4D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1B" w:rsidRDefault="00FD541B" w:rsidP="00D4376A">
      <w:pPr>
        <w:spacing w:after="0" w:line="240" w:lineRule="auto"/>
      </w:pPr>
      <w:r>
        <w:separator/>
      </w:r>
    </w:p>
  </w:endnote>
  <w:endnote w:type="continuationSeparator" w:id="0">
    <w:p w:rsidR="00FD541B" w:rsidRDefault="00FD541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20A5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20A5B" w:rsidRPr="000C30AB">
      <w:rPr>
        <w:rStyle w:val="SayfaNumaras"/>
        <w:rFonts w:ascii="Times New Roman" w:hAnsi="Times New Roman" w:cs="Times New Roman"/>
      </w:rPr>
      <w:fldChar w:fldCharType="separate"/>
    </w:r>
    <w:r w:rsidR="008C509D">
      <w:rPr>
        <w:rStyle w:val="SayfaNumaras"/>
        <w:rFonts w:ascii="Times New Roman" w:hAnsi="Times New Roman" w:cs="Times New Roman"/>
        <w:noProof/>
      </w:rPr>
      <w:t>1</w:t>
    </w:r>
    <w:r w:rsidR="00820A5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20A5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20A5B" w:rsidRPr="000C30AB">
      <w:rPr>
        <w:rStyle w:val="SayfaNumaras"/>
        <w:rFonts w:ascii="Times New Roman" w:hAnsi="Times New Roman" w:cs="Times New Roman"/>
      </w:rPr>
      <w:fldChar w:fldCharType="separate"/>
    </w:r>
    <w:r w:rsidR="008C509D">
      <w:rPr>
        <w:rStyle w:val="SayfaNumaras"/>
        <w:rFonts w:ascii="Times New Roman" w:hAnsi="Times New Roman" w:cs="Times New Roman"/>
        <w:noProof/>
      </w:rPr>
      <w:t>2</w:t>
    </w:r>
    <w:r w:rsidR="00820A5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1B" w:rsidRDefault="00FD541B" w:rsidP="00D4376A">
      <w:pPr>
        <w:spacing w:after="0" w:line="240" w:lineRule="auto"/>
      </w:pPr>
      <w:r>
        <w:separator/>
      </w:r>
    </w:p>
  </w:footnote>
  <w:footnote w:type="continuationSeparator" w:id="0">
    <w:p w:rsidR="00FD541B" w:rsidRDefault="00FD541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7F4D2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1943BE" w:rsidRPr="007F4D21" w:rsidRDefault="00546D9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154223" w:rsidRPr="007F4D21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1943BE"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MÜDÜR YARDIMCISI </w:t>
          </w:r>
        </w:p>
        <w:p w:rsidR="002F2A17" w:rsidRPr="007F4D21" w:rsidRDefault="001943B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>(Eğitim-Öğretim İşleri)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F4D2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F4D21" w:rsidP="007F4D2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F4D21" w:rsidP="007F4D2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5DABB52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64011"/>
    <w:multiLevelType w:val="hybridMultilevel"/>
    <w:tmpl w:val="1542EC9C"/>
    <w:lvl w:ilvl="0" w:tplc="7F9039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C35FC"/>
    <w:multiLevelType w:val="hybridMultilevel"/>
    <w:tmpl w:val="78280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F1DA0"/>
    <w:multiLevelType w:val="hybridMultilevel"/>
    <w:tmpl w:val="A596F302"/>
    <w:lvl w:ilvl="0" w:tplc="5EA2D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BD7205"/>
    <w:multiLevelType w:val="hybridMultilevel"/>
    <w:tmpl w:val="00481F7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54223"/>
    <w:rsid w:val="001739B8"/>
    <w:rsid w:val="001808C6"/>
    <w:rsid w:val="00187A69"/>
    <w:rsid w:val="001943BE"/>
    <w:rsid w:val="001E74F5"/>
    <w:rsid w:val="002305DB"/>
    <w:rsid w:val="002F01DE"/>
    <w:rsid w:val="002F2A17"/>
    <w:rsid w:val="00333CA3"/>
    <w:rsid w:val="00366BB5"/>
    <w:rsid w:val="003B5DD7"/>
    <w:rsid w:val="003C1EC4"/>
    <w:rsid w:val="004423D5"/>
    <w:rsid w:val="00455A8D"/>
    <w:rsid w:val="00474DFB"/>
    <w:rsid w:val="00475E07"/>
    <w:rsid w:val="0048311B"/>
    <w:rsid w:val="004B5AE8"/>
    <w:rsid w:val="004C48B7"/>
    <w:rsid w:val="004C5513"/>
    <w:rsid w:val="00526A0F"/>
    <w:rsid w:val="00546D9E"/>
    <w:rsid w:val="00556536"/>
    <w:rsid w:val="005811CE"/>
    <w:rsid w:val="005F644E"/>
    <w:rsid w:val="00674B81"/>
    <w:rsid w:val="00686C05"/>
    <w:rsid w:val="006E45FF"/>
    <w:rsid w:val="00757731"/>
    <w:rsid w:val="00762837"/>
    <w:rsid w:val="007857E5"/>
    <w:rsid w:val="007938F9"/>
    <w:rsid w:val="007A1513"/>
    <w:rsid w:val="007F4D21"/>
    <w:rsid w:val="00820A5B"/>
    <w:rsid w:val="00834D02"/>
    <w:rsid w:val="008926FF"/>
    <w:rsid w:val="008A54F3"/>
    <w:rsid w:val="008C449B"/>
    <w:rsid w:val="008C509D"/>
    <w:rsid w:val="00927A3A"/>
    <w:rsid w:val="00934D76"/>
    <w:rsid w:val="00953311"/>
    <w:rsid w:val="00A0008C"/>
    <w:rsid w:val="00A239A7"/>
    <w:rsid w:val="00A41175"/>
    <w:rsid w:val="00A418B0"/>
    <w:rsid w:val="00A64ED7"/>
    <w:rsid w:val="00B02924"/>
    <w:rsid w:val="00B07C9F"/>
    <w:rsid w:val="00B325CD"/>
    <w:rsid w:val="00B40514"/>
    <w:rsid w:val="00BD5281"/>
    <w:rsid w:val="00BE560F"/>
    <w:rsid w:val="00C23377"/>
    <w:rsid w:val="00C63A4A"/>
    <w:rsid w:val="00C771CD"/>
    <w:rsid w:val="00D04C9B"/>
    <w:rsid w:val="00D11501"/>
    <w:rsid w:val="00D4376A"/>
    <w:rsid w:val="00D734D7"/>
    <w:rsid w:val="00DB5A70"/>
    <w:rsid w:val="00E67A00"/>
    <w:rsid w:val="00EB6821"/>
    <w:rsid w:val="00EF1B90"/>
    <w:rsid w:val="00F2458F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94C6F-6203-4A6B-81D6-9980730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23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unhideWhenUsed/>
    <w:rsid w:val="00154223"/>
    <w:pPr>
      <w:numPr>
        <w:numId w:val="1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2018-11-01T08:21:00Z</dcterms:created>
  <dcterms:modified xsi:type="dcterms:W3CDTF">2018-11-22T07:43:00Z</dcterms:modified>
</cp:coreProperties>
</file>