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C7" w:rsidRDefault="00CC27C7" w:rsidP="00CC27C7">
      <w:pPr>
        <w:spacing w:after="240" w:line="300" w:lineRule="atLeast"/>
        <w:rPr>
          <w:rFonts w:ascii="Arial" w:hAnsi="Arial" w:cs="Arial"/>
          <w:color w:val="1C283D"/>
          <w:sz w:val="15"/>
          <w:szCs w:val="15"/>
        </w:rPr>
      </w:pPr>
      <w:r>
        <w:rPr>
          <w:rFonts w:ascii="Arial" w:hAnsi="Arial" w:cs="Arial"/>
          <w:color w:val="1C283D"/>
          <w:sz w:val="15"/>
          <w:szCs w:val="15"/>
        </w:rPr>
        <w:t>Resmi Gazete Tarihi: 24.04.2010 Resmi Gazete Sayısı: 27561</w:t>
      </w:r>
    </w:p>
    <w:p w:rsidR="00CC27C7" w:rsidRDefault="00CC27C7" w:rsidP="00CC27C7">
      <w:pPr>
        <w:spacing w:line="240" w:lineRule="atLeast"/>
        <w:ind w:firstLine="567"/>
        <w:jc w:val="center"/>
        <w:rPr>
          <w:color w:val="1C283D"/>
        </w:rPr>
      </w:pPr>
      <w:bookmarkStart w:id="0" w:name="_GoBack"/>
      <w:r>
        <w:rPr>
          <w:rFonts w:ascii="Calibri" w:hAnsi="Calibri"/>
          <w:b/>
          <w:bCs/>
          <w:color w:val="1C283D"/>
          <w:sz w:val="22"/>
          <w:szCs w:val="22"/>
        </w:rPr>
        <w:t>YÜKSEKÖĞRETİM KURUMLARINDA ÖNLİSANS VE LİSANS DÜZEYİNDEKİ PROGRAMLAR ARASINDA GEÇİŞ, ÇİFT ANADAL, YAN DAL İLE KURUMLAR ARASI KREDİ TRANSFERİ YAPILMASI ESASLARINA İLİŞKİN YÖNETMELİK</w:t>
      </w:r>
    </w:p>
    <w:bookmarkEnd w:id="0"/>
    <w:p w:rsidR="00CC27C7" w:rsidRDefault="00CC27C7" w:rsidP="00CC27C7">
      <w:pPr>
        <w:spacing w:line="240" w:lineRule="atLeast"/>
        <w:ind w:firstLine="567"/>
        <w:jc w:val="both"/>
        <w:rPr>
          <w:color w:val="1C283D"/>
        </w:rPr>
      </w:pPr>
      <w:r>
        <w:rPr>
          <w:rFonts w:ascii="Calibri" w:hAnsi="Calibri"/>
          <w:b/>
          <w:bCs/>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BİRİNCİ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Amaç, Kapsam, Dayanak ve Tanımlar</w:t>
      </w:r>
    </w:p>
    <w:p w:rsidR="00CC27C7" w:rsidRDefault="00CC27C7" w:rsidP="00CC27C7">
      <w:pPr>
        <w:spacing w:line="240" w:lineRule="atLeast"/>
        <w:ind w:firstLine="567"/>
        <w:jc w:val="both"/>
        <w:rPr>
          <w:color w:val="1C283D"/>
        </w:rPr>
      </w:pPr>
      <w:r>
        <w:rPr>
          <w:rFonts w:ascii="Calibri" w:hAnsi="Calibri"/>
          <w:b/>
          <w:bCs/>
          <w:color w:val="1C283D"/>
          <w:sz w:val="22"/>
          <w:szCs w:val="22"/>
        </w:rPr>
        <w:t>Amaç</w:t>
      </w:r>
    </w:p>
    <w:p w:rsidR="00CC27C7" w:rsidRDefault="00CC27C7" w:rsidP="00CC27C7">
      <w:pPr>
        <w:spacing w:line="240" w:lineRule="atLeast"/>
        <w:ind w:firstLine="567"/>
        <w:jc w:val="both"/>
        <w:rPr>
          <w:color w:val="1C283D"/>
        </w:rPr>
      </w:pPr>
      <w:proofErr w:type="gramStart"/>
      <w:r>
        <w:rPr>
          <w:rFonts w:ascii="Calibri" w:hAnsi="Calibri"/>
          <w:b/>
          <w:bCs/>
          <w:color w:val="1C283D"/>
          <w:sz w:val="22"/>
          <w:szCs w:val="22"/>
        </w:rPr>
        <w:t>MADDE 1</w:t>
      </w:r>
      <w:r>
        <w:rPr>
          <w:rFonts w:ascii="Calibri" w:hAnsi="Calibri"/>
          <w:color w:val="1C283D"/>
          <w:sz w:val="22"/>
          <w:szCs w:val="22"/>
        </w:rPr>
        <w:t xml:space="preserve"> – (1) Bu Yönetmeliğin amacı,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ve yükseköğretim kurumları arasında kredi aktarımında uyulması gereken usul ve esasları  düzenlemektir.</w:t>
      </w:r>
      <w:proofErr w:type="gramEnd"/>
    </w:p>
    <w:p w:rsidR="00CC27C7" w:rsidRDefault="00CC27C7" w:rsidP="00CC27C7">
      <w:pPr>
        <w:spacing w:line="240" w:lineRule="atLeast"/>
        <w:ind w:firstLine="567"/>
        <w:jc w:val="both"/>
        <w:rPr>
          <w:color w:val="1C283D"/>
        </w:rPr>
      </w:pPr>
      <w:r>
        <w:rPr>
          <w:rFonts w:ascii="Calibri" w:hAnsi="Calibri"/>
          <w:b/>
          <w:bCs/>
          <w:color w:val="1C283D"/>
          <w:sz w:val="22"/>
          <w:szCs w:val="22"/>
        </w:rPr>
        <w:t>Kapsam</w:t>
      </w:r>
    </w:p>
    <w:p w:rsidR="00CC27C7" w:rsidRDefault="00CC27C7" w:rsidP="00CC27C7">
      <w:pPr>
        <w:spacing w:line="240" w:lineRule="atLeast"/>
        <w:ind w:firstLine="567"/>
        <w:jc w:val="both"/>
        <w:rPr>
          <w:color w:val="1C283D"/>
        </w:rPr>
      </w:pPr>
      <w:r>
        <w:rPr>
          <w:rFonts w:ascii="Calibri" w:hAnsi="Calibri"/>
          <w:b/>
          <w:bCs/>
          <w:color w:val="1C283D"/>
          <w:sz w:val="22"/>
          <w:szCs w:val="22"/>
        </w:rPr>
        <w:t>MADDE 2</w:t>
      </w:r>
      <w:r>
        <w:rPr>
          <w:rFonts w:ascii="Calibri" w:hAnsi="Calibri"/>
          <w:color w:val="1C283D"/>
          <w:sz w:val="22"/>
          <w:szCs w:val="22"/>
        </w:rPr>
        <w:t xml:space="preserve"> – (1) Bu Yönetmelik, yükseköğretim kurumlarındaki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düzeyindeki diploma programları arasındaki her türlü yatay geçişleri, çift </w:t>
      </w:r>
      <w:proofErr w:type="spellStart"/>
      <w:r>
        <w:rPr>
          <w:rFonts w:ascii="Calibri" w:hAnsi="Calibri"/>
          <w:color w:val="1C283D"/>
          <w:sz w:val="22"/>
          <w:szCs w:val="22"/>
        </w:rPr>
        <w:t>anadal</w:t>
      </w:r>
      <w:proofErr w:type="spell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 ve kredi aktarımına ilişkin hükümleri kapsar.</w:t>
      </w:r>
    </w:p>
    <w:p w:rsidR="00CC27C7" w:rsidRDefault="00CC27C7" w:rsidP="00CC27C7">
      <w:pPr>
        <w:spacing w:line="240" w:lineRule="atLeast"/>
        <w:ind w:firstLine="567"/>
        <w:jc w:val="both"/>
        <w:rPr>
          <w:color w:val="1C283D"/>
        </w:rPr>
      </w:pPr>
      <w:r>
        <w:rPr>
          <w:rFonts w:ascii="Calibri" w:hAnsi="Calibri"/>
          <w:b/>
          <w:bCs/>
          <w:color w:val="1C283D"/>
          <w:sz w:val="22"/>
          <w:szCs w:val="22"/>
        </w:rPr>
        <w:t>Dayanak</w:t>
      </w:r>
    </w:p>
    <w:p w:rsidR="00CC27C7" w:rsidRDefault="00CC27C7" w:rsidP="00CC27C7">
      <w:pPr>
        <w:spacing w:line="240" w:lineRule="atLeast"/>
        <w:ind w:firstLine="567"/>
        <w:jc w:val="both"/>
        <w:rPr>
          <w:color w:val="1C283D"/>
        </w:rPr>
      </w:pPr>
      <w:r>
        <w:rPr>
          <w:rFonts w:ascii="Calibri" w:hAnsi="Calibri"/>
          <w:b/>
          <w:bCs/>
          <w:color w:val="1C283D"/>
          <w:sz w:val="22"/>
          <w:szCs w:val="22"/>
        </w:rPr>
        <w:t>MADDE 3</w:t>
      </w:r>
      <w:r>
        <w:rPr>
          <w:rFonts w:ascii="Calibri" w:hAnsi="Calibri"/>
          <w:color w:val="1C283D"/>
          <w:sz w:val="22"/>
          <w:szCs w:val="22"/>
        </w:rPr>
        <w:t xml:space="preserve"> – (1) Bu Yönetmelik, 2547 sayılı Yükseköğretim Kanununun 7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birinci fıkrasının (e) bendine dayanılarak hazırlanmıştır.</w:t>
      </w:r>
    </w:p>
    <w:p w:rsidR="00CC27C7" w:rsidRDefault="00CC27C7" w:rsidP="00CC27C7">
      <w:pPr>
        <w:spacing w:line="240" w:lineRule="atLeast"/>
        <w:ind w:firstLine="567"/>
        <w:jc w:val="both"/>
        <w:rPr>
          <w:color w:val="1C283D"/>
        </w:rPr>
      </w:pPr>
      <w:r>
        <w:rPr>
          <w:rFonts w:ascii="Calibri" w:hAnsi="Calibri"/>
          <w:b/>
          <w:bCs/>
          <w:color w:val="1C283D"/>
          <w:sz w:val="22"/>
          <w:szCs w:val="22"/>
        </w:rPr>
        <w:t>Tanımlar</w:t>
      </w:r>
    </w:p>
    <w:p w:rsidR="00CC27C7" w:rsidRDefault="00CC27C7" w:rsidP="00CC27C7">
      <w:pPr>
        <w:spacing w:line="240" w:lineRule="atLeast"/>
        <w:ind w:firstLine="567"/>
        <w:jc w:val="both"/>
        <w:rPr>
          <w:color w:val="1C283D"/>
        </w:rPr>
      </w:pPr>
      <w:r>
        <w:rPr>
          <w:rFonts w:ascii="Calibri" w:hAnsi="Calibri"/>
          <w:b/>
          <w:bCs/>
          <w:color w:val="1C283D"/>
          <w:sz w:val="22"/>
          <w:szCs w:val="22"/>
        </w:rPr>
        <w:t>MADDE 4</w:t>
      </w:r>
      <w:r>
        <w:rPr>
          <w:rFonts w:ascii="Calibri" w:hAnsi="Calibri"/>
          <w:color w:val="1C283D"/>
          <w:sz w:val="22"/>
          <w:szCs w:val="22"/>
        </w:rPr>
        <w:t xml:space="preserve"> – (1) Yönetmelikte geçen;</w:t>
      </w:r>
    </w:p>
    <w:p w:rsidR="00CC27C7" w:rsidRDefault="00CC27C7" w:rsidP="00CC27C7">
      <w:pPr>
        <w:spacing w:line="240" w:lineRule="atLeast"/>
        <w:ind w:firstLine="567"/>
        <w:jc w:val="both"/>
        <w:rPr>
          <w:color w:val="1C283D"/>
        </w:rPr>
      </w:pPr>
      <w:r>
        <w:rPr>
          <w:rFonts w:ascii="Calibri" w:hAnsi="Calibri"/>
          <w:color w:val="1C283D"/>
          <w:sz w:val="22"/>
          <w:szCs w:val="22"/>
        </w:rPr>
        <w:t xml:space="preserve">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 Başarı şartını ve diğer koşulları sağlayan öğrencilerin aynı yükseköğretim kurumunun iki diploma programından eş zamanlı olarak ders alıp, iki ayrı diploma alabilmesini sağlayan programı,</w:t>
      </w:r>
    </w:p>
    <w:p w:rsidR="00CC27C7" w:rsidRDefault="00CC27C7" w:rsidP="00CC27C7">
      <w:pPr>
        <w:spacing w:line="240" w:lineRule="atLeast"/>
        <w:ind w:firstLine="567"/>
        <w:jc w:val="both"/>
        <w:rPr>
          <w:color w:val="1C283D"/>
        </w:rPr>
      </w:pPr>
      <w:r>
        <w:rPr>
          <w:rFonts w:ascii="Calibri" w:hAnsi="Calibri"/>
          <w:color w:val="1C283D"/>
          <w:sz w:val="22"/>
          <w:szCs w:val="22"/>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c) Diploma programı: Fakülte, yüksekokul, konservatuvar, meslek yüksekokulu veya bölümlerin belirlenen yeterlilikleri sağlayan öğrencilere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diploması düzenlenen yükseköğretim programlarını,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ç) Düzey: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 programlarından her birini,</w:t>
      </w:r>
    </w:p>
    <w:p w:rsidR="00CC27C7" w:rsidRDefault="00CC27C7" w:rsidP="00CC27C7">
      <w:pPr>
        <w:spacing w:line="240" w:lineRule="atLeast"/>
        <w:ind w:firstLine="567"/>
        <w:jc w:val="both"/>
        <w:rPr>
          <w:color w:val="1C283D"/>
        </w:rPr>
      </w:pPr>
      <w:r>
        <w:rPr>
          <w:rFonts w:ascii="Calibri" w:hAnsi="Calibri"/>
          <w:color w:val="1C283D"/>
          <w:sz w:val="22"/>
          <w:szCs w:val="22"/>
        </w:rPr>
        <w:t xml:space="preserve">d) Eşdeğer diploma programı: İsimleri aynı olan veya ilgili yönetim kurulları tarafından içeriklerinin en az yüzde sekseni aynı olduğu tespit edilen diploma programlarını,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f) Genel not ortalaması: Öğrencinin hazırlık sınıfı hariç, geçiş yapmak istediği döneme kadar almış olduğu tüm derslerin kredilerine göre </w:t>
      </w:r>
      <w:proofErr w:type="spellStart"/>
      <w:r>
        <w:rPr>
          <w:rFonts w:ascii="Calibri" w:hAnsi="Calibri"/>
          <w:color w:val="1C283D"/>
          <w:sz w:val="22"/>
          <w:szCs w:val="22"/>
        </w:rPr>
        <w:t>ağırlıklandırılmış</w:t>
      </w:r>
      <w:proofErr w:type="spellEnd"/>
      <w:r>
        <w:rPr>
          <w:rFonts w:ascii="Calibri" w:hAnsi="Calibri"/>
          <w:color w:val="1C283D"/>
          <w:sz w:val="22"/>
          <w:szCs w:val="22"/>
        </w:rPr>
        <w:t xml:space="preserve"> not ortalamasını,</w:t>
      </w:r>
    </w:p>
    <w:p w:rsidR="00CC27C7" w:rsidRDefault="00CC27C7" w:rsidP="00CC27C7">
      <w:pPr>
        <w:spacing w:line="240" w:lineRule="atLeast"/>
        <w:ind w:firstLine="567"/>
        <w:jc w:val="both"/>
        <w:rPr>
          <w:color w:val="1C283D"/>
        </w:rPr>
      </w:pPr>
      <w:r>
        <w:rPr>
          <w:rFonts w:ascii="Calibri" w:hAnsi="Calibri"/>
          <w:color w:val="1C283D"/>
          <w:sz w:val="22"/>
          <w:szCs w:val="22"/>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CC27C7" w:rsidRDefault="00CC27C7" w:rsidP="00CC27C7">
      <w:pPr>
        <w:spacing w:line="240" w:lineRule="atLeast"/>
        <w:ind w:firstLine="567"/>
        <w:jc w:val="both"/>
        <w:rPr>
          <w:color w:val="1C283D"/>
        </w:rPr>
      </w:pPr>
      <w:r>
        <w:rPr>
          <w:rFonts w:ascii="Calibri" w:hAnsi="Calibri"/>
          <w:color w:val="1C283D"/>
          <w:sz w:val="22"/>
          <w:szCs w:val="22"/>
        </w:rPr>
        <w:lastRenderedPageBreak/>
        <w:t xml:space="preserve">h) İntibak programı: Diploma programları arasında geçiş yapılması halinde, geçiş yapılan diploma programının müfredatına uyum sağlamak amacıyla ilave ders ve uygulamalardan oluşan programı, </w:t>
      </w:r>
    </w:p>
    <w:p w:rsidR="00CC27C7" w:rsidRDefault="00CC27C7" w:rsidP="00CC27C7">
      <w:pPr>
        <w:spacing w:line="240" w:lineRule="atLeast"/>
        <w:ind w:firstLine="567"/>
        <w:jc w:val="both"/>
        <w:rPr>
          <w:color w:val="1C283D"/>
        </w:rPr>
      </w:pPr>
      <w:r>
        <w:rPr>
          <w:rFonts w:ascii="Calibri" w:hAnsi="Calibri"/>
          <w:color w:val="1C283D"/>
          <w:sz w:val="22"/>
          <w:szCs w:val="22"/>
        </w:rPr>
        <w:t>ı) Kontenjan: Önceden belirlenip ilan edilen öğrenci sayısını,</w:t>
      </w:r>
    </w:p>
    <w:p w:rsidR="00CC27C7" w:rsidRDefault="00CC27C7" w:rsidP="00CC27C7">
      <w:pPr>
        <w:spacing w:line="240" w:lineRule="atLeast"/>
        <w:ind w:firstLine="567"/>
        <w:jc w:val="both"/>
        <w:rPr>
          <w:color w:val="1C283D"/>
        </w:rPr>
      </w:pPr>
      <w:r>
        <w:rPr>
          <w:rFonts w:ascii="Calibri" w:hAnsi="Calibri"/>
          <w:color w:val="1C283D"/>
          <w:sz w:val="22"/>
          <w:szCs w:val="22"/>
        </w:rPr>
        <w:t>i) Kurum içi yatay geçiş: Bir öğrencinin kayıtlı olduğu yükseköğretim kurumu içindeki aynı düzeydeki diğer diploma programlarına geçişini,</w:t>
      </w:r>
    </w:p>
    <w:p w:rsidR="00CC27C7" w:rsidRDefault="00CC27C7" w:rsidP="00CC27C7">
      <w:pPr>
        <w:spacing w:line="240" w:lineRule="atLeast"/>
        <w:ind w:firstLine="567"/>
        <w:jc w:val="both"/>
        <w:rPr>
          <w:color w:val="1C283D"/>
        </w:rPr>
      </w:pPr>
      <w:r>
        <w:rPr>
          <w:rFonts w:ascii="Calibri" w:hAnsi="Calibri"/>
          <w:color w:val="1C283D"/>
          <w:sz w:val="22"/>
          <w:szCs w:val="22"/>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CC27C7" w:rsidRDefault="00CC27C7" w:rsidP="00CC27C7">
      <w:pPr>
        <w:spacing w:line="240" w:lineRule="atLeast"/>
        <w:ind w:firstLine="567"/>
        <w:jc w:val="both"/>
        <w:rPr>
          <w:color w:val="1C283D"/>
        </w:rPr>
      </w:pPr>
      <w:r>
        <w:rPr>
          <w:rFonts w:ascii="Calibri" w:hAnsi="Calibri"/>
          <w:color w:val="1C283D"/>
          <w:sz w:val="22"/>
          <w:szCs w:val="22"/>
        </w:rPr>
        <w:t>k) Not çizelgesi: Öğrenim süresi içinde alınan derslerin, isim, kredi ve başarı notlarının topluca yazıldığı belgeyi,</w:t>
      </w:r>
    </w:p>
    <w:p w:rsidR="00CC27C7" w:rsidRDefault="00CC27C7" w:rsidP="00CC27C7">
      <w:pPr>
        <w:spacing w:line="240" w:lineRule="atLeast"/>
        <w:ind w:firstLine="567"/>
        <w:jc w:val="both"/>
        <w:rPr>
          <w:color w:val="1C283D"/>
        </w:rPr>
      </w:pPr>
      <w:r>
        <w:rPr>
          <w:rFonts w:ascii="Calibri" w:hAnsi="Calibri"/>
          <w:color w:val="1C283D"/>
          <w:sz w:val="22"/>
          <w:szCs w:val="22"/>
        </w:rPr>
        <w:t xml:space="preserve">l) Ortak program: Fakülte, yüksekokul veya meslek yüksekokuluna kabul edilen öğrencilerin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derecesi verilen bir diploma programına geçmeden önce aynı yükseköğretim kurumunda aldıkları derslerden oluşan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m) Uluslararası ortak diploma programı: Yükseköğretim kurumlarının yurtdışındaki yükseköğretim kurumları ve diğer kuruluşlarla işbirliği tesis ederek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diploması veren programlarında yürüttükleri uluslararası ortak eğitim ve öğretim programını,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n)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Taban puan: Bir yükseköğretim kurumunun diploma programına Ölçme, Seçme ve Yerleştirme Merkezi (ÖSYM) tarafından merkezi sınavla yerleştirilen en düşük puanlı öğrencinin giriş puanını,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o)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Pr>
          <w:rFonts w:ascii="Calibri" w:hAnsi="Calibri"/>
          <w:color w:val="1C283D"/>
          <w:sz w:val="22"/>
          <w:szCs w:val="22"/>
        </w:rPr>
        <w:t>yandal</w:t>
      </w:r>
      <w:proofErr w:type="spellEnd"/>
      <w:r>
        <w:rPr>
          <w:rFonts w:ascii="Calibri" w:hAnsi="Calibri"/>
          <w:color w:val="1C283D"/>
          <w:sz w:val="22"/>
          <w:szCs w:val="22"/>
        </w:rPr>
        <w:t xml:space="preserve"> sertifikası) alabilmelerini sağlayan programı,</w:t>
      </w:r>
    </w:p>
    <w:p w:rsidR="00CC27C7" w:rsidRDefault="00CC27C7" w:rsidP="00CC27C7">
      <w:pPr>
        <w:spacing w:line="240" w:lineRule="atLeast"/>
        <w:ind w:firstLine="567"/>
        <w:jc w:val="both"/>
        <w:rPr>
          <w:color w:val="1C283D"/>
        </w:rPr>
      </w:pPr>
      <w:r>
        <w:rPr>
          <w:rFonts w:ascii="Calibri" w:hAnsi="Calibri"/>
          <w:color w:val="1C283D"/>
          <w:sz w:val="22"/>
          <w:szCs w:val="22"/>
        </w:rPr>
        <w:t xml:space="preserve">ö) Yatay geçiş: Bir yükseköğretim kurumunda kayıtlı olan öğrencinin bu Yönetmelikteki esaslar çerçevesinde, aynı düzeydeki diğer diploma programlarında öğrenime devam etme hakkı kazanmasını,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p) Yükseköğretim öğrenci </w:t>
      </w:r>
      <w:proofErr w:type="spellStart"/>
      <w:r>
        <w:rPr>
          <w:rFonts w:ascii="Calibri" w:hAnsi="Calibri"/>
          <w:color w:val="1C283D"/>
          <w:sz w:val="22"/>
          <w:szCs w:val="22"/>
        </w:rPr>
        <w:t>veritabanı</w:t>
      </w:r>
      <w:proofErr w:type="spellEnd"/>
      <w:r>
        <w:rPr>
          <w:rFonts w:ascii="Calibri" w:hAnsi="Calibri"/>
          <w:color w:val="1C283D"/>
          <w:sz w:val="22"/>
          <w:szCs w:val="22"/>
        </w:rPr>
        <w:t xml:space="preserve"> (YÖKSİS): Yükseköğretim Kurulu bünyesinde tüm yükseköğretim kurumlarında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lisans ve lisansüstü düzeylerde öğrenim gören öğrencilerin bilgilerinin tutulduğu merkezi </w:t>
      </w:r>
      <w:proofErr w:type="spellStart"/>
      <w:r>
        <w:rPr>
          <w:rFonts w:ascii="Calibri" w:hAnsi="Calibri"/>
          <w:color w:val="1C283D"/>
          <w:sz w:val="22"/>
          <w:szCs w:val="22"/>
        </w:rPr>
        <w:t>veritabanını</w:t>
      </w:r>
      <w:proofErr w:type="spellEnd"/>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 </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İKİNCİ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Genel İlkeler</w:t>
      </w:r>
    </w:p>
    <w:p w:rsidR="00CC27C7" w:rsidRDefault="00CC27C7" w:rsidP="00CC27C7">
      <w:pPr>
        <w:spacing w:line="240" w:lineRule="atLeast"/>
        <w:ind w:firstLine="567"/>
        <w:jc w:val="both"/>
        <w:rPr>
          <w:color w:val="1C283D"/>
        </w:rPr>
      </w:pPr>
      <w:r>
        <w:rPr>
          <w:rFonts w:ascii="Calibri" w:hAnsi="Calibri"/>
          <w:b/>
          <w:bCs/>
          <w:color w:val="1C283D"/>
          <w:sz w:val="22"/>
          <w:szCs w:val="22"/>
        </w:rPr>
        <w:t>Kontenjan</w:t>
      </w:r>
    </w:p>
    <w:p w:rsidR="00CC27C7" w:rsidRDefault="00CC27C7" w:rsidP="00CC27C7">
      <w:pPr>
        <w:spacing w:line="240" w:lineRule="atLeast"/>
        <w:ind w:firstLine="567"/>
        <w:jc w:val="both"/>
        <w:rPr>
          <w:color w:val="1C283D"/>
        </w:rPr>
      </w:pPr>
      <w:r>
        <w:rPr>
          <w:rFonts w:ascii="Calibri" w:hAnsi="Calibri"/>
          <w:b/>
          <w:bCs/>
          <w:color w:val="1C283D"/>
          <w:sz w:val="22"/>
          <w:szCs w:val="22"/>
        </w:rPr>
        <w:t>MADDE 5</w:t>
      </w:r>
      <w:r>
        <w:rPr>
          <w:rFonts w:ascii="Calibri" w:hAnsi="Calibri"/>
          <w:color w:val="1C283D"/>
          <w:sz w:val="22"/>
          <w:szCs w:val="22"/>
        </w:rPr>
        <w:t xml:space="preserve"> – (1)  Farklı yükseköğretim kurumlarının diploma programları veya aynı yükseköğretim kurumu içindeki diploma programları arasında ancak önceden ilan edilen sayı ve geçiş şartları çerçevesinde geçiş yapılabilir. </w:t>
      </w:r>
    </w:p>
    <w:p w:rsidR="00CC27C7" w:rsidRDefault="00CC27C7" w:rsidP="00CC27C7">
      <w:pPr>
        <w:spacing w:line="240" w:lineRule="atLeast"/>
        <w:ind w:firstLine="567"/>
        <w:jc w:val="both"/>
        <w:rPr>
          <w:color w:val="1C283D"/>
        </w:rPr>
      </w:pPr>
      <w:r>
        <w:rPr>
          <w:rFonts w:ascii="Calibri" w:hAnsi="Calibri"/>
          <w:color w:val="1C283D"/>
          <w:sz w:val="22"/>
          <w:szCs w:val="22"/>
        </w:rPr>
        <w:t>(2) ÖSYM tarafından yapılan yerleştirmelerde kontenjan sınırlaması bulunmayan diploma programlarına yatay geçişlerde kontenjan sınırlaması uygulanmaz.</w:t>
      </w:r>
    </w:p>
    <w:p w:rsidR="00CC27C7" w:rsidRDefault="00CC27C7" w:rsidP="00CC27C7">
      <w:pPr>
        <w:spacing w:line="240" w:lineRule="atLeast"/>
        <w:ind w:firstLine="567"/>
        <w:jc w:val="both"/>
        <w:rPr>
          <w:color w:val="1C283D"/>
        </w:rPr>
      </w:pPr>
      <w:r>
        <w:rPr>
          <w:rFonts w:ascii="Calibri" w:hAnsi="Calibri"/>
          <w:b/>
          <w:bCs/>
          <w:color w:val="1C283D"/>
          <w:sz w:val="22"/>
          <w:szCs w:val="22"/>
        </w:rPr>
        <w:t>Geçişler</w:t>
      </w:r>
    </w:p>
    <w:p w:rsidR="00CC27C7" w:rsidRDefault="00CC27C7" w:rsidP="00CC27C7">
      <w:pPr>
        <w:spacing w:line="240" w:lineRule="atLeast"/>
        <w:ind w:firstLine="567"/>
        <w:jc w:val="both"/>
        <w:rPr>
          <w:color w:val="1C283D"/>
        </w:rPr>
      </w:pPr>
      <w:r>
        <w:rPr>
          <w:rFonts w:ascii="Calibri" w:hAnsi="Calibri"/>
          <w:b/>
          <w:bCs/>
          <w:color w:val="1C283D"/>
          <w:sz w:val="22"/>
          <w:szCs w:val="22"/>
        </w:rPr>
        <w:t>MADDE 6</w:t>
      </w:r>
      <w:r>
        <w:rPr>
          <w:rFonts w:ascii="Calibri" w:hAnsi="Calibri"/>
          <w:color w:val="1C283D"/>
          <w:sz w:val="22"/>
          <w:szCs w:val="22"/>
        </w:rPr>
        <w:t xml:space="preserve"> – (1) </w:t>
      </w:r>
      <w:proofErr w:type="spellStart"/>
      <w:r>
        <w:rPr>
          <w:rFonts w:ascii="Calibri" w:hAnsi="Calibri"/>
          <w:color w:val="1C283D"/>
          <w:sz w:val="22"/>
          <w:szCs w:val="22"/>
        </w:rPr>
        <w:t>Önlisans</w:t>
      </w:r>
      <w:proofErr w:type="spellEnd"/>
      <w:r>
        <w:rPr>
          <w:rFonts w:ascii="Calibri" w:hAnsi="Calibri"/>
          <w:color w:val="1C283D"/>
          <w:sz w:val="22"/>
          <w:szCs w:val="22"/>
        </w:rPr>
        <w:t xml:space="preserve"> diploma programlarının ilk yarıyılı ile son yarıyılına, lisans diploma programlarının ilk iki yarıyılı ile lisans diploma programlarının son iki yarıyılına yatay geçiş yapılamaz.</w:t>
      </w:r>
    </w:p>
    <w:p w:rsidR="00CC27C7" w:rsidRDefault="00CC27C7" w:rsidP="00CC27C7">
      <w:pPr>
        <w:spacing w:line="240" w:lineRule="atLeast"/>
        <w:ind w:firstLine="567"/>
        <w:jc w:val="both"/>
        <w:rPr>
          <w:color w:val="1C283D"/>
        </w:rPr>
      </w:pPr>
      <w:r>
        <w:rPr>
          <w:rFonts w:ascii="Calibri" w:hAnsi="Calibri"/>
          <w:color w:val="1C283D"/>
          <w:sz w:val="22"/>
          <w:szCs w:val="22"/>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Pr>
          <w:rFonts w:ascii="Calibri" w:hAnsi="Calibri"/>
          <w:color w:val="1C283D"/>
          <w:sz w:val="22"/>
          <w:szCs w:val="22"/>
        </w:rPr>
        <w:t>dahilinde</w:t>
      </w:r>
      <w:proofErr w:type="gramEnd"/>
      <w:r>
        <w:rPr>
          <w:rFonts w:ascii="Calibri" w:hAnsi="Calibri"/>
          <w:color w:val="1C283D"/>
          <w:sz w:val="22"/>
          <w:szCs w:val="22"/>
        </w:rPr>
        <w:t xml:space="preserve"> yatay geçiş yapabilirler.</w:t>
      </w:r>
    </w:p>
    <w:p w:rsidR="00CC27C7" w:rsidRDefault="00CC27C7" w:rsidP="00CC27C7">
      <w:pPr>
        <w:spacing w:line="240" w:lineRule="atLeast"/>
        <w:ind w:firstLine="567"/>
        <w:jc w:val="both"/>
        <w:rPr>
          <w:color w:val="1C283D"/>
        </w:rPr>
      </w:pPr>
      <w:r>
        <w:rPr>
          <w:rFonts w:ascii="Calibri" w:hAnsi="Calibri"/>
          <w:color w:val="1C283D"/>
          <w:sz w:val="22"/>
          <w:szCs w:val="22"/>
        </w:rPr>
        <w:lastRenderedPageBreak/>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Birinci veya ikinci öğretim diploma programlarından açık veya uzaktan eğitim veren diploma programlarına yatay geçiş yapılabilir. </w:t>
      </w:r>
    </w:p>
    <w:p w:rsidR="00CC27C7" w:rsidRDefault="00CC27C7" w:rsidP="00CC27C7">
      <w:pPr>
        <w:spacing w:line="240" w:lineRule="atLeast"/>
        <w:ind w:firstLine="567"/>
        <w:jc w:val="both"/>
        <w:rPr>
          <w:color w:val="1C283D"/>
        </w:rPr>
      </w:pPr>
      <w:r>
        <w:rPr>
          <w:rFonts w:ascii="Calibri" w:hAnsi="Calibri"/>
          <w:b/>
          <w:bCs/>
          <w:color w:val="1C283D"/>
          <w:sz w:val="22"/>
          <w:szCs w:val="22"/>
        </w:rPr>
        <w:t>Başvuru ve değerlendirme</w:t>
      </w:r>
    </w:p>
    <w:p w:rsidR="00CC27C7" w:rsidRDefault="00CC27C7" w:rsidP="00CC27C7">
      <w:pPr>
        <w:spacing w:line="240" w:lineRule="atLeast"/>
        <w:ind w:firstLine="567"/>
        <w:jc w:val="both"/>
        <w:rPr>
          <w:color w:val="1C283D"/>
        </w:rPr>
      </w:pPr>
      <w:r>
        <w:rPr>
          <w:rFonts w:ascii="Calibri" w:hAnsi="Calibri"/>
          <w:b/>
          <w:bCs/>
          <w:color w:val="1C283D"/>
          <w:sz w:val="22"/>
          <w:szCs w:val="22"/>
        </w:rPr>
        <w:t>MADDE 7</w:t>
      </w:r>
      <w:r>
        <w:rPr>
          <w:rFonts w:ascii="Calibri" w:hAnsi="Calibri"/>
          <w:color w:val="1C283D"/>
          <w:sz w:val="22"/>
          <w:szCs w:val="22"/>
        </w:rPr>
        <w:t xml:space="preserve"> – (1) Diploma programları arasında yatay geçiş başvuruları, sadece ilan edilen süre içerisinde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Yatay geçiş başvurularının değerlendirilmesinde kullanılacak olan </w:t>
      </w:r>
      <w:proofErr w:type="gramStart"/>
      <w:r>
        <w:rPr>
          <w:rFonts w:ascii="Calibri" w:hAnsi="Calibri"/>
          <w:color w:val="1C283D"/>
          <w:sz w:val="22"/>
          <w:szCs w:val="22"/>
        </w:rPr>
        <w:t>kriterler</w:t>
      </w:r>
      <w:proofErr w:type="gramEnd"/>
      <w:r>
        <w:rPr>
          <w:rFonts w:ascii="Calibri" w:hAnsi="Calibri"/>
          <w:color w:val="1C283D"/>
          <w:sz w:val="22"/>
          <w:szCs w:val="22"/>
        </w:rPr>
        <w:t xml:space="preserve"> ve yatay geçiş için gereken asgari koşullar,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ve ayrılan kontenjana göre geçiş sağlanır.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Diploma programına yatay geçiş yerleştirme işlemleri yükseköğretim kurumlarının ilgili yönetim kurulu kararı üzerine yapılır.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Kayıt dondurmuş olmak, yatay geçiş hakkından yararlanmak için engel teşkil etmez. </w:t>
      </w:r>
    </w:p>
    <w:p w:rsidR="00CC27C7" w:rsidRDefault="00CC27C7" w:rsidP="00CC27C7">
      <w:pPr>
        <w:spacing w:line="240" w:lineRule="atLeast"/>
        <w:ind w:firstLine="567"/>
        <w:jc w:val="both"/>
        <w:rPr>
          <w:color w:val="1C283D"/>
        </w:rPr>
      </w:pPr>
      <w:r>
        <w:rPr>
          <w:rFonts w:ascii="Calibri" w:hAnsi="Calibri"/>
          <w:color w:val="1C283D"/>
          <w:sz w:val="22"/>
          <w:szCs w:val="22"/>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CC27C7" w:rsidRDefault="00CC27C7" w:rsidP="00CC27C7">
      <w:pPr>
        <w:spacing w:line="240" w:lineRule="atLeast"/>
        <w:ind w:firstLine="567"/>
        <w:jc w:val="both"/>
        <w:rPr>
          <w:color w:val="1C283D"/>
        </w:rPr>
      </w:pPr>
      <w:r>
        <w:rPr>
          <w:rFonts w:ascii="Calibri" w:hAnsi="Calibri"/>
          <w:b/>
          <w:bCs/>
          <w:color w:val="1C283D"/>
          <w:sz w:val="22"/>
          <w:szCs w:val="22"/>
        </w:rPr>
        <w:t>Sonuçların ilanı ve intibak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8</w:t>
      </w:r>
      <w:r>
        <w:rPr>
          <w:rFonts w:ascii="Calibri" w:hAnsi="Calibri"/>
          <w:color w:val="1C283D"/>
          <w:sz w:val="22"/>
          <w:szCs w:val="22"/>
        </w:rPr>
        <w:t xml:space="preserve"> – (1) Her bir diploma programına yatay geçiş için başvuran adayların değerlendirme sonuçları, ilgili yükseköğretim kurumunun internet sayfasında duyurulur. Yatay geçiş hakkı kazananlara kendileri hakkındaki karar yazılı olarak tebliğ edilir. </w:t>
      </w:r>
    </w:p>
    <w:p w:rsidR="00CC27C7" w:rsidRDefault="00CC27C7" w:rsidP="00CC27C7">
      <w:pPr>
        <w:spacing w:line="240" w:lineRule="atLeast"/>
        <w:ind w:firstLine="567"/>
        <w:jc w:val="both"/>
        <w:rPr>
          <w:color w:val="1C283D"/>
        </w:rPr>
      </w:pPr>
      <w:r>
        <w:rPr>
          <w:rFonts w:ascii="Calibri" w:hAnsi="Calibri"/>
          <w:color w:val="1C283D"/>
          <w:sz w:val="22"/>
          <w:szCs w:val="22"/>
        </w:rPr>
        <w:t>(2) Başarı şartını taşıyan yeterli sayıda adayın olması halinde kontenjan sayısı kadar yedek aday ilan edilir.  Belirlenen süre içinde asıl adaylardan başvuru yapılmaması halinde sırayla yedekler çağrılır.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Bu Yönetmelik kapsamında geçiş yapan öğrencilerin yeni durumları, kayıt işlemi tamamlanıp, geçiş ve intibak işlemleri kesinleştikten sonra en geç 15 gün içinde Öğrenci İşleri Daire Başkanlığı tarafından yükseköğretim öğrenci </w:t>
      </w:r>
      <w:proofErr w:type="spellStart"/>
      <w:r>
        <w:rPr>
          <w:rFonts w:ascii="Calibri" w:hAnsi="Calibri"/>
          <w:color w:val="1C283D"/>
          <w:sz w:val="22"/>
          <w:szCs w:val="22"/>
        </w:rPr>
        <w:t>veritabanına</w:t>
      </w:r>
      <w:proofErr w:type="spellEnd"/>
      <w:r>
        <w:rPr>
          <w:rFonts w:ascii="Calibri" w:hAnsi="Calibri"/>
          <w:color w:val="1C283D"/>
          <w:sz w:val="22"/>
          <w:szCs w:val="22"/>
        </w:rPr>
        <w:t xml:space="preserve"> (YÖKSİS) işlenir.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ÜÇÜNCÜ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Kurum İçi Programlar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Kurum içi yatay geçiş kontenjanları ve taban puan şartı</w:t>
      </w:r>
    </w:p>
    <w:p w:rsidR="00CC27C7" w:rsidRDefault="00CC27C7" w:rsidP="00CC27C7">
      <w:pPr>
        <w:spacing w:line="240" w:lineRule="atLeast"/>
        <w:ind w:firstLine="567"/>
        <w:jc w:val="both"/>
        <w:rPr>
          <w:color w:val="1C283D"/>
        </w:rPr>
      </w:pPr>
      <w:r>
        <w:rPr>
          <w:rFonts w:ascii="Calibri" w:hAnsi="Calibri"/>
          <w:b/>
          <w:bCs/>
          <w:color w:val="1C283D"/>
          <w:sz w:val="22"/>
          <w:szCs w:val="22"/>
        </w:rPr>
        <w:t>MADDE 9</w:t>
      </w:r>
      <w:r>
        <w:rPr>
          <w:rFonts w:ascii="Calibri" w:hAnsi="Calibri"/>
          <w:color w:val="1C283D"/>
          <w:sz w:val="22"/>
          <w:szCs w:val="22"/>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w:t>
      </w:r>
      <w:proofErr w:type="gramStart"/>
      <w:r>
        <w:rPr>
          <w:rFonts w:ascii="Calibri" w:hAnsi="Calibri"/>
          <w:color w:val="1C283D"/>
          <w:sz w:val="22"/>
          <w:szCs w:val="22"/>
        </w:rPr>
        <w:t>dahilinde</w:t>
      </w:r>
      <w:proofErr w:type="gramEnd"/>
      <w:r>
        <w:rPr>
          <w:rFonts w:ascii="Calibri" w:hAnsi="Calibri"/>
          <w:color w:val="1C283D"/>
          <w:sz w:val="22"/>
          <w:szCs w:val="22"/>
        </w:rPr>
        <w:t xml:space="preserve"> yatay geçiş yapılabilir.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Hangi dönemlerde ve hangi diploma programları için kurum içi yatay geçiş kontenjanı belirleneceği, her bir diploma programı için ikinci yarıyıldan başlamak ve beşinci yarıyıl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kontenjan ilan edilen her yıl için ÖSYM Kılavuzunda öngörülen öğrenci kontenjanının yüzde </w:t>
      </w:r>
      <w:proofErr w:type="spellStart"/>
      <w:r>
        <w:rPr>
          <w:rFonts w:ascii="Calibri" w:hAnsi="Calibri"/>
          <w:color w:val="1C283D"/>
          <w:sz w:val="22"/>
          <w:szCs w:val="22"/>
        </w:rPr>
        <w:t>onbeşini</w:t>
      </w:r>
      <w:proofErr w:type="spellEnd"/>
      <w:r>
        <w:rPr>
          <w:rFonts w:ascii="Calibri" w:hAnsi="Calibri"/>
          <w:color w:val="1C283D"/>
          <w:sz w:val="22"/>
          <w:szCs w:val="22"/>
        </w:rPr>
        <w:t xml:space="preserve"> geçmeyecek biçimde, ilgili yönetim kurulları tarafından karara bağlanır. Vakıf üniversitelerinin bir programında burslu kontenjan </w:t>
      </w:r>
      <w:proofErr w:type="gramStart"/>
      <w:r>
        <w:rPr>
          <w:rFonts w:ascii="Calibri" w:hAnsi="Calibri"/>
          <w:color w:val="1C283D"/>
          <w:sz w:val="22"/>
          <w:szCs w:val="22"/>
        </w:rPr>
        <w:t>dahilinde</w:t>
      </w:r>
      <w:proofErr w:type="gramEnd"/>
      <w:r>
        <w:rPr>
          <w:rFonts w:ascii="Calibri" w:hAnsi="Calibri"/>
          <w:color w:val="1C283D"/>
          <w:sz w:val="22"/>
          <w:szCs w:val="22"/>
        </w:rPr>
        <w:t xml:space="preserve"> öğrenim görmekte olan öğrenciler yatay geçiş yaptıklarında burslarından feragat etmiş sayılırlar. Ortak programdan sonra diploma programına </w:t>
      </w:r>
      <w:r>
        <w:rPr>
          <w:rFonts w:ascii="Calibri" w:hAnsi="Calibri"/>
          <w:color w:val="1C283D"/>
          <w:sz w:val="22"/>
          <w:szCs w:val="22"/>
        </w:rPr>
        <w:lastRenderedPageBreak/>
        <w:t xml:space="preserve">geçiş uygulaması olan yükseköğretim kurumlarının kurum içi geçiş kontenjanı belirlenmesinde, bu diploma programları için senato tarafından belirlenmiş olan kontenjanlar esas alınır. </w:t>
      </w:r>
    </w:p>
    <w:p w:rsidR="00CC27C7" w:rsidRDefault="00CC27C7" w:rsidP="00CC27C7">
      <w:pPr>
        <w:spacing w:line="240" w:lineRule="atLeast"/>
        <w:ind w:firstLine="567"/>
        <w:jc w:val="both"/>
        <w:rPr>
          <w:color w:val="1C283D"/>
        </w:rPr>
      </w:pPr>
      <w:r>
        <w:rPr>
          <w:rFonts w:ascii="Calibri" w:hAnsi="Calibri"/>
          <w:color w:val="1C283D"/>
          <w:sz w:val="22"/>
          <w:szCs w:val="22"/>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CC27C7" w:rsidRDefault="00CC27C7" w:rsidP="00CC27C7">
      <w:pPr>
        <w:spacing w:line="240" w:lineRule="atLeast"/>
        <w:ind w:firstLine="567"/>
        <w:jc w:val="both"/>
        <w:rPr>
          <w:color w:val="1C283D"/>
        </w:rPr>
      </w:pPr>
      <w:r>
        <w:rPr>
          <w:rFonts w:ascii="Calibri" w:hAnsi="Calibri"/>
          <w:color w:val="1C283D"/>
          <w:sz w:val="22"/>
          <w:szCs w:val="22"/>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 (6) Yetenek sınavı ile öğrenci alan diploma programlarına kurum içi yatay geçişlerde diğer şartların yanı sıra yetenek sınavında da başarılı olma şartı aranır.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Ortak programdan diploma programlarına geçiş </w:t>
      </w:r>
    </w:p>
    <w:p w:rsidR="00CC27C7" w:rsidRDefault="00CC27C7" w:rsidP="00CC27C7">
      <w:pPr>
        <w:spacing w:line="240" w:lineRule="atLeast"/>
        <w:ind w:firstLine="567"/>
        <w:jc w:val="both"/>
        <w:rPr>
          <w:color w:val="1C283D"/>
        </w:rPr>
      </w:pPr>
      <w:r>
        <w:rPr>
          <w:rFonts w:ascii="Calibri" w:hAnsi="Calibri"/>
          <w:b/>
          <w:bCs/>
          <w:color w:val="1C283D"/>
          <w:sz w:val="22"/>
          <w:szCs w:val="22"/>
        </w:rPr>
        <w:t>MADDE 10</w:t>
      </w:r>
      <w:r>
        <w:rPr>
          <w:rFonts w:ascii="Calibri" w:hAnsi="Calibri"/>
          <w:color w:val="1C283D"/>
          <w:sz w:val="22"/>
          <w:szCs w:val="22"/>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(2)  Ortak programı başarı ile tamamlayan her öğrenciden, diploma programına geçebilmeleri için ortak programdaki diploma programı sayısı kadar tercih alınır.</w:t>
      </w:r>
    </w:p>
    <w:p w:rsidR="00CC27C7" w:rsidRDefault="00CC27C7" w:rsidP="00CC27C7">
      <w:pPr>
        <w:spacing w:line="240" w:lineRule="atLeast"/>
        <w:ind w:firstLine="567"/>
        <w:jc w:val="both"/>
        <w:rPr>
          <w:color w:val="1C283D"/>
        </w:rPr>
      </w:pPr>
      <w:r>
        <w:rPr>
          <w:rFonts w:ascii="Calibri" w:hAnsi="Calibri"/>
          <w:color w:val="1C283D"/>
          <w:sz w:val="22"/>
          <w:szCs w:val="22"/>
        </w:rPr>
        <w:t> </w:t>
      </w:r>
      <w:proofErr w:type="gramStart"/>
      <w:r>
        <w:rPr>
          <w:rFonts w:ascii="Calibri" w:hAnsi="Calibri"/>
          <w:color w:val="1C283D"/>
          <w:sz w:val="22"/>
          <w:szCs w:val="22"/>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Pr>
          <w:rFonts w:ascii="Calibri" w:hAnsi="Calibri"/>
          <w:color w:val="1C283D"/>
          <w:sz w:val="22"/>
          <w:szCs w:val="22"/>
        </w:rPr>
        <w:t xml:space="preserve">Adayların yerleştirme puanının eşit olması halinde merkezi yerleştirme puanı daha yüksek olana öncelik tanınır. Bu </w:t>
      </w:r>
      <w:proofErr w:type="gramStart"/>
      <w:r>
        <w:rPr>
          <w:rFonts w:ascii="Calibri" w:hAnsi="Calibri"/>
          <w:color w:val="1C283D"/>
          <w:sz w:val="22"/>
          <w:szCs w:val="22"/>
        </w:rPr>
        <w:t>kriterlerden</w:t>
      </w:r>
      <w:proofErr w:type="gramEnd"/>
      <w:r>
        <w:rPr>
          <w:rFonts w:ascii="Calibri" w:hAnsi="Calibri"/>
          <w:color w:val="1C283D"/>
          <w:sz w:val="22"/>
          <w:szCs w:val="22"/>
        </w:rPr>
        <w:t xml:space="preserve"> hangisinin uygulanacağı, üniversite senatosu tarafından belirlenir.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Diploma programı seçimi öncesinde, yabancı dil hazırlık sınıfı dışında geçirilen süre öğrenim süresine </w:t>
      </w:r>
      <w:proofErr w:type="gramStart"/>
      <w:r>
        <w:rPr>
          <w:rFonts w:ascii="Calibri" w:hAnsi="Calibri"/>
          <w:color w:val="1C283D"/>
          <w:sz w:val="22"/>
          <w:szCs w:val="22"/>
        </w:rPr>
        <w:t>dahildir</w:t>
      </w:r>
      <w:proofErr w:type="gramEnd"/>
      <w:r>
        <w:rPr>
          <w:rFonts w:ascii="Calibri" w:hAnsi="Calibri"/>
          <w:color w:val="1C283D"/>
          <w:sz w:val="22"/>
          <w:szCs w:val="22"/>
        </w:rPr>
        <w:t>.</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DÖRDÜNCÜ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Kurumlar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Kurumlar arası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11</w:t>
      </w:r>
      <w:r>
        <w:rPr>
          <w:rFonts w:ascii="Calibri" w:hAnsi="Calibri"/>
          <w:color w:val="1C283D"/>
          <w:sz w:val="22"/>
          <w:szCs w:val="22"/>
        </w:rPr>
        <w:t xml:space="preserve"> – (1) Kurumlar arası yatay geçiş yükseköğretim kurumlarının aynı düzeydeki eşdeğer diploma programları arasında ve Yükseköğretim Kurulu tarafından yayınlanan kontenjanlar çerçevesinde yapılır.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Kurumlar arası yatay geçiş için öğrencinin, kayıtlı olduğu programda bitirmiş olduğu dönemlere ait genel not ortalamasının en az 100 üzerinden 60 olması şarttır.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İkinci fıkradaki başarı şartını sağlayamayan ancak merkezi yerleştirme puanı geçiş yapmak istediği diploma programının taban puanına eşit veya yüksek olan adaylar yatay geçiş başvurusu yapabilir. </w:t>
      </w:r>
      <w:r>
        <w:rPr>
          <w:rFonts w:ascii="Calibri" w:hAnsi="Calibri"/>
          <w:b/>
          <w:bCs/>
          <w:color w:val="1C283D"/>
          <w:sz w:val="22"/>
          <w:szCs w:val="22"/>
        </w:rPr>
        <w:t xml:space="preserve">(Mülga son </w:t>
      </w:r>
      <w:proofErr w:type="gramStart"/>
      <w:r>
        <w:rPr>
          <w:rFonts w:ascii="Calibri" w:hAnsi="Calibri"/>
          <w:b/>
          <w:bCs/>
          <w:color w:val="1C283D"/>
          <w:sz w:val="22"/>
          <w:szCs w:val="22"/>
        </w:rPr>
        <w:t>cümle:RG</w:t>
      </w:r>
      <w:proofErr w:type="gramEnd"/>
      <w:r>
        <w:rPr>
          <w:rFonts w:ascii="Calibri" w:hAnsi="Calibri"/>
          <w:b/>
          <w:bCs/>
          <w:color w:val="1C283D"/>
          <w:sz w:val="22"/>
          <w:szCs w:val="22"/>
        </w:rPr>
        <w:t>-21/9/2013-28772)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Yükseköğretim kurumlarının belirlenen yatay geçiş kontenjanları ile başvuru ve değerlendirme takvimi, Yükseköğretim Kurulu internet sayfasında ilan edilir.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w:t>
      </w:r>
      <w:proofErr w:type="spellStart"/>
      <w:r>
        <w:rPr>
          <w:rFonts w:ascii="Calibri" w:hAnsi="Calibri"/>
          <w:color w:val="1C283D"/>
          <w:sz w:val="22"/>
          <w:szCs w:val="22"/>
        </w:rPr>
        <w:t>Önlisans</w:t>
      </w:r>
      <w:proofErr w:type="spellEnd"/>
      <w:r>
        <w:rPr>
          <w:rFonts w:ascii="Calibri" w:hAnsi="Calibri"/>
          <w:color w:val="1C283D"/>
          <w:sz w:val="22"/>
          <w:szCs w:val="22"/>
        </w:rPr>
        <w:t xml:space="preserve"> derecesi verilen diploma programlarında yatay geçiş kontenjanları ile başvuru ve değerlendirme takvimi ikinci yarıyıl için Ocak ayı, üçüncü yarıyıl için ise Temmuz ayı içinde ilan edilir.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(6) Lisans derecesi verilen diploma programlarında; dört yıllık eğitim verenlerde ikinci ve üçüncü sınıfları için, beş yıllık eğitim verenlerde ikinci, üçüncü ve dördüncü sınıflar için, altı yıllık </w:t>
      </w:r>
      <w:r>
        <w:rPr>
          <w:rFonts w:ascii="Calibri" w:hAnsi="Calibri"/>
          <w:color w:val="1C283D"/>
          <w:sz w:val="22"/>
          <w:szCs w:val="22"/>
        </w:rPr>
        <w:lastRenderedPageBreak/>
        <w:t>eğitim verenlerde ikinci, üçüncü, dördüncü ve beşinci sınıflar için yatay geçiş kontenjanları ile başvuru ve değerlendirme takvimi Temmuz ayı içinde ilan edilir.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Pr>
          <w:rFonts w:ascii="Calibri" w:hAnsi="Calibri"/>
          <w:color w:val="1C283D"/>
          <w:sz w:val="22"/>
          <w:szCs w:val="22"/>
        </w:rPr>
        <w:t>kurumlararası</w:t>
      </w:r>
      <w:proofErr w:type="spellEnd"/>
      <w:r>
        <w:rPr>
          <w:rFonts w:ascii="Calibri" w:hAnsi="Calibri"/>
          <w:color w:val="1C283D"/>
          <w:sz w:val="22"/>
          <w:szCs w:val="22"/>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Pr>
          <w:rFonts w:ascii="Calibri" w:hAnsi="Calibri"/>
          <w:color w:val="1C283D"/>
          <w:sz w:val="22"/>
          <w:szCs w:val="22"/>
        </w:rPr>
        <w:t>Önlisans</w:t>
      </w:r>
      <w:proofErr w:type="spellEnd"/>
      <w:r>
        <w:rPr>
          <w:rFonts w:ascii="Calibri" w:hAnsi="Calibri"/>
          <w:color w:val="1C283D"/>
          <w:sz w:val="22"/>
          <w:szCs w:val="22"/>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CC27C7" w:rsidRDefault="00CC27C7" w:rsidP="00CC27C7">
      <w:pPr>
        <w:spacing w:line="240" w:lineRule="atLeast"/>
        <w:ind w:firstLine="567"/>
        <w:jc w:val="both"/>
        <w:rPr>
          <w:color w:val="1C283D"/>
        </w:rPr>
      </w:pPr>
      <w:r>
        <w:rPr>
          <w:rFonts w:ascii="Calibri" w:hAnsi="Calibri"/>
          <w:color w:val="1C283D"/>
          <w:sz w:val="22"/>
          <w:szCs w:val="22"/>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(10)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Yatay geçişle gelen öğrencilerin önceki diploma programından aldığı ve başarılı olduğu derslerin intibakının yapılarak, bu derslere ilişkin daha önce alınan notların transkripte işlenmesi gerekir.</w:t>
      </w:r>
    </w:p>
    <w:p w:rsidR="00CC27C7" w:rsidRDefault="00CC27C7" w:rsidP="00CC27C7">
      <w:pPr>
        <w:spacing w:line="240" w:lineRule="atLeast"/>
        <w:ind w:firstLine="567"/>
        <w:jc w:val="both"/>
        <w:rPr>
          <w:color w:val="1C283D"/>
        </w:rPr>
      </w:pPr>
      <w:r>
        <w:rPr>
          <w:rFonts w:ascii="Calibri" w:hAnsi="Calibri"/>
          <w:b/>
          <w:bCs/>
          <w:color w:val="1C283D"/>
          <w:sz w:val="22"/>
          <w:szCs w:val="22"/>
        </w:rPr>
        <w:t>Değerlendirme</w:t>
      </w:r>
    </w:p>
    <w:p w:rsidR="00CC27C7" w:rsidRDefault="00CC27C7" w:rsidP="00CC27C7">
      <w:pPr>
        <w:spacing w:line="240" w:lineRule="atLeast"/>
        <w:ind w:firstLine="567"/>
        <w:jc w:val="both"/>
        <w:rPr>
          <w:color w:val="1C283D"/>
        </w:rPr>
      </w:pPr>
      <w:r>
        <w:rPr>
          <w:rFonts w:ascii="Calibri" w:hAnsi="Calibri"/>
          <w:b/>
          <w:bCs/>
          <w:color w:val="1C283D"/>
          <w:sz w:val="22"/>
          <w:szCs w:val="22"/>
        </w:rPr>
        <w:t>MADDE 12</w:t>
      </w:r>
      <w:r>
        <w:rPr>
          <w:rFonts w:ascii="Calibri" w:hAnsi="Calibri"/>
          <w:color w:val="1C283D"/>
          <w:sz w:val="22"/>
          <w:szCs w:val="22"/>
        </w:rPr>
        <w:t xml:space="preserve"> – (1) Kurumlar arası yatay geçiş değerlendirme sonuçları, geçerli başvurusu olan tüm adayların isimleri, değerlendirmede esas alınan puanlara göre sıralanmış biçimde ilgili </w:t>
      </w:r>
      <w:proofErr w:type="gramStart"/>
      <w:r>
        <w:rPr>
          <w:rFonts w:ascii="Calibri" w:hAnsi="Calibri"/>
          <w:color w:val="1C283D"/>
          <w:sz w:val="22"/>
          <w:szCs w:val="22"/>
        </w:rPr>
        <w:t>yüksek öğretim</w:t>
      </w:r>
      <w:proofErr w:type="gramEnd"/>
      <w:r>
        <w:rPr>
          <w:rFonts w:ascii="Calibri" w:hAnsi="Calibri"/>
          <w:color w:val="1C283D"/>
          <w:sz w:val="22"/>
          <w:szCs w:val="22"/>
        </w:rPr>
        <w:t xml:space="preserve"> kurumunun internet sayfasında ilan edilir.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Pr>
          <w:rFonts w:ascii="Calibri" w:hAnsi="Calibri"/>
          <w:color w:val="1C283D"/>
          <w:sz w:val="22"/>
          <w:szCs w:val="22"/>
        </w:rPr>
        <w:t>kriterlere</w:t>
      </w:r>
      <w:proofErr w:type="gramEnd"/>
      <w:r>
        <w:rPr>
          <w:rFonts w:ascii="Calibri" w:hAnsi="Calibri"/>
          <w:color w:val="1C283D"/>
          <w:sz w:val="22"/>
          <w:szCs w:val="22"/>
        </w:rPr>
        <w:t xml:space="preserve"> göre değerlendirilir ve ayrılan kontenjana göre geçiş sağlanır.  </w:t>
      </w:r>
    </w:p>
    <w:p w:rsidR="00CC27C7" w:rsidRDefault="00CC27C7" w:rsidP="00CC27C7">
      <w:pPr>
        <w:spacing w:line="240" w:lineRule="atLeast"/>
        <w:ind w:firstLine="567"/>
        <w:jc w:val="both"/>
        <w:rPr>
          <w:color w:val="1C283D"/>
        </w:rPr>
      </w:pPr>
      <w:r>
        <w:rPr>
          <w:rFonts w:ascii="Calibri" w:hAnsi="Calibri"/>
          <w:color w:val="1C283D"/>
          <w:sz w:val="22"/>
          <w:szCs w:val="22"/>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CC27C7" w:rsidRDefault="00CC27C7" w:rsidP="00CC27C7">
      <w:pPr>
        <w:spacing w:line="240" w:lineRule="atLeast"/>
        <w:ind w:firstLine="567"/>
        <w:jc w:val="both"/>
        <w:rPr>
          <w:color w:val="1C283D"/>
        </w:rPr>
      </w:pPr>
      <w:r>
        <w:rPr>
          <w:rFonts w:ascii="Calibri" w:hAnsi="Calibri"/>
          <w:b/>
          <w:bCs/>
          <w:color w:val="1C283D"/>
          <w:sz w:val="22"/>
          <w:szCs w:val="22"/>
        </w:rPr>
        <w:t>Diğer yükseköğretim kurumlarından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13</w:t>
      </w:r>
      <w:r>
        <w:rPr>
          <w:rFonts w:ascii="Calibri" w:hAnsi="Calibri"/>
          <w:color w:val="1C283D"/>
          <w:sz w:val="22"/>
          <w:szCs w:val="22"/>
        </w:rPr>
        <w:t xml:space="preserve"> – (1) Türk Silahlı Kuvvetleri ile Polis Akademisi ve bağlı yükseköğretim kurumlarında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 öğretime devam eden öğrenciler kendi özel kanunlarınca düzenlenen hükümler çerçevesinde ve bu Yönetmeliğin konuyla ilgili hükümlerine uygun olarak diğer yükseköğretim kurumlarına yatay geçiş yapabilirler.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Bu kurumlardan </w:t>
      </w:r>
      <w:proofErr w:type="gramStart"/>
      <w:r>
        <w:rPr>
          <w:rFonts w:ascii="Calibri" w:hAnsi="Calibri"/>
          <w:color w:val="1C283D"/>
          <w:sz w:val="22"/>
          <w:szCs w:val="22"/>
        </w:rPr>
        <w:t>13/1/1985</w:t>
      </w:r>
      <w:proofErr w:type="gramEnd"/>
      <w:r>
        <w:rPr>
          <w:rFonts w:ascii="Calibri" w:hAnsi="Calibri"/>
          <w:color w:val="1C283D"/>
          <w:sz w:val="22"/>
          <w:szCs w:val="22"/>
        </w:rPr>
        <w:t xml:space="preserve"> tarihli ve 18634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Pr>
          <w:rFonts w:ascii="Calibri" w:hAnsi="Calibri"/>
          <w:color w:val="1C283D"/>
          <w:sz w:val="22"/>
          <w:szCs w:val="22"/>
        </w:rPr>
        <w:t>kurumlararası</w:t>
      </w:r>
      <w:proofErr w:type="spellEnd"/>
      <w:r>
        <w:rPr>
          <w:rFonts w:ascii="Calibri" w:hAnsi="Calibri"/>
          <w:color w:val="1C283D"/>
          <w:sz w:val="22"/>
          <w:szCs w:val="22"/>
        </w:rPr>
        <w:t xml:space="preserve"> yatay geçiş hükümlerine göre değerlendirilir.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-16/8/2011-28027)</w:t>
      </w:r>
      <w:r>
        <w:rPr>
          <w:rFonts w:ascii="Calibri" w:hAnsi="Calibri"/>
          <w:color w:val="1C283D"/>
          <w:sz w:val="22"/>
          <w:szCs w:val="22"/>
        </w:rPr>
        <w:t xml:space="preserve"> Gülhane Askeri Tıp Akademisi Tıp Fakültesinin 5 ve 6 </w:t>
      </w:r>
      <w:proofErr w:type="spellStart"/>
      <w:r>
        <w:rPr>
          <w:rFonts w:ascii="Calibri" w:hAnsi="Calibri"/>
          <w:color w:val="1C283D"/>
          <w:sz w:val="22"/>
          <w:szCs w:val="22"/>
        </w:rPr>
        <w:t>ncı</w:t>
      </w:r>
      <w:proofErr w:type="spellEnd"/>
      <w:r>
        <w:rPr>
          <w:rFonts w:ascii="Calibri" w:hAnsi="Calibri"/>
          <w:color w:val="1C283D"/>
          <w:sz w:val="22"/>
          <w:szCs w:val="22"/>
        </w:rPr>
        <w:t xml:space="preserve"> sınıfından başarısızlık hariç sağlık sorunları nedeniyle askeri öğrenci vasfını kaybettiği için ilişiği </w:t>
      </w:r>
      <w:r>
        <w:rPr>
          <w:rFonts w:ascii="Calibri" w:hAnsi="Calibri"/>
          <w:color w:val="1C283D"/>
          <w:sz w:val="22"/>
          <w:szCs w:val="22"/>
        </w:rPr>
        <w:lastRenderedPageBreak/>
        <w:t>kesilenlerin yükseköğretim kurumları tıp fakültesine yerleştirme işlemleri Yükseköğretim Kurulu tarafından yapılır.</w:t>
      </w:r>
    </w:p>
    <w:p w:rsidR="00CC27C7" w:rsidRDefault="00CC27C7" w:rsidP="00CC27C7">
      <w:pPr>
        <w:spacing w:line="240" w:lineRule="atLeast"/>
        <w:ind w:firstLine="567"/>
        <w:jc w:val="both"/>
        <w:rPr>
          <w:color w:val="1C283D"/>
        </w:rPr>
      </w:pPr>
      <w:r>
        <w:rPr>
          <w:rFonts w:ascii="Calibri" w:hAnsi="Calibri"/>
          <w:b/>
          <w:bCs/>
          <w:color w:val="1C283D"/>
          <w:sz w:val="22"/>
          <w:szCs w:val="22"/>
        </w:rPr>
        <w:t>Yurtdışı yükseköğretim kurumlarından yurtiçindekilere yatay geçiş</w:t>
      </w:r>
    </w:p>
    <w:p w:rsidR="00CC27C7" w:rsidRDefault="00CC27C7" w:rsidP="00CC27C7">
      <w:pPr>
        <w:spacing w:line="240" w:lineRule="atLeast"/>
        <w:ind w:firstLine="567"/>
        <w:jc w:val="both"/>
        <w:rPr>
          <w:color w:val="1C283D"/>
        </w:rPr>
      </w:pPr>
      <w:r>
        <w:rPr>
          <w:rFonts w:ascii="Calibri" w:hAnsi="Calibri"/>
          <w:b/>
          <w:bCs/>
          <w:color w:val="1C283D"/>
          <w:sz w:val="22"/>
          <w:szCs w:val="22"/>
        </w:rPr>
        <w:t>MADDE 14</w:t>
      </w:r>
      <w:r>
        <w:rPr>
          <w:rFonts w:ascii="Calibri" w:hAnsi="Calibri"/>
          <w:color w:val="1C283D"/>
          <w:sz w:val="22"/>
          <w:szCs w:val="22"/>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 (2) Yabancı ülkelerdeki yükseköğretim kurumlarından yurt içindeki yükseköğretim kurumlarına geçiş için, öğrencinin bu Yönetmeliğin 12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ikinci fıkrasında belirlenen kurumlar arası yatay geçiş başarı şartları aranır.</w:t>
      </w:r>
    </w:p>
    <w:p w:rsidR="00CC27C7" w:rsidRDefault="00CC27C7" w:rsidP="00CC27C7">
      <w:pPr>
        <w:spacing w:line="240" w:lineRule="atLeast"/>
        <w:ind w:firstLine="567"/>
        <w:jc w:val="both"/>
        <w:rPr>
          <w:color w:val="1C283D"/>
        </w:rPr>
      </w:pPr>
      <w:r>
        <w:rPr>
          <w:rFonts w:ascii="Calibri" w:hAnsi="Calibri"/>
          <w:color w:val="1C283D"/>
          <w:sz w:val="22"/>
          <w:szCs w:val="22"/>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CC27C7" w:rsidRDefault="00CC27C7" w:rsidP="00CC27C7">
      <w:pPr>
        <w:spacing w:line="240" w:lineRule="atLeast"/>
        <w:ind w:firstLine="567"/>
        <w:jc w:val="both"/>
        <w:rPr>
          <w:color w:val="1C283D"/>
        </w:rPr>
      </w:pPr>
      <w:r>
        <w:rPr>
          <w:rFonts w:ascii="Calibri" w:hAnsi="Calibri"/>
          <w:color w:val="1C283D"/>
          <w:sz w:val="22"/>
          <w:szCs w:val="22"/>
        </w:rPr>
        <w:t> </w:t>
      </w:r>
      <w:proofErr w:type="gramStart"/>
      <w:r>
        <w:rPr>
          <w:rFonts w:ascii="Calibri" w:hAnsi="Calibri"/>
          <w:color w:val="1C283D"/>
          <w:sz w:val="22"/>
          <w:szCs w:val="22"/>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Pr>
          <w:rFonts w:ascii="Calibri" w:hAnsi="Calibri"/>
          <w:color w:val="1C283D"/>
          <w:sz w:val="22"/>
          <w:szCs w:val="22"/>
        </w:rPr>
        <w:t>önlisans</w:t>
      </w:r>
      <w:proofErr w:type="spellEnd"/>
      <w:r>
        <w:rPr>
          <w:rFonts w:ascii="Calibri" w:hAnsi="Calibri"/>
          <w:color w:val="1C283D"/>
          <w:sz w:val="22"/>
          <w:szCs w:val="22"/>
        </w:rPr>
        <w:t xml:space="preserve"> veya lisans diploma programına eşdeğerliğinin ilgili üniversite tarafından kabul edilmesi şartı aranır.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CC27C7" w:rsidRDefault="00CC27C7" w:rsidP="00CC27C7">
      <w:pPr>
        <w:spacing w:line="240" w:lineRule="atLeast"/>
        <w:ind w:firstLine="567"/>
        <w:jc w:val="both"/>
        <w:rPr>
          <w:color w:val="1C283D"/>
        </w:rPr>
      </w:pPr>
      <w:r>
        <w:rPr>
          <w:rFonts w:ascii="Calibri" w:hAnsi="Calibri"/>
          <w:b/>
          <w:bCs/>
          <w:color w:val="1C283D"/>
          <w:sz w:val="22"/>
          <w:szCs w:val="22"/>
        </w:rPr>
        <w:t>Yabancı uyruklu öğrenciler</w:t>
      </w:r>
    </w:p>
    <w:p w:rsidR="00CC27C7" w:rsidRDefault="00CC27C7" w:rsidP="00CC27C7">
      <w:pPr>
        <w:spacing w:line="240" w:lineRule="atLeast"/>
        <w:ind w:firstLine="567"/>
        <w:jc w:val="both"/>
        <w:rPr>
          <w:color w:val="1C283D"/>
        </w:rPr>
      </w:pPr>
      <w:r>
        <w:rPr>
          <w:rFonts w:ascii="Calibri" w:hAnsi="Calibri"/>
          <w:b/>
          <w:bCs/>
          <w:color w:val="1C283D"/>
          <w:sz w:val="22"/>
          <w:szCs w:val="22"/>
        </w:rPr>
        <w:t>MADDE 15</w:t>
      </w:r>
      <w:r>
        <w:rPr>
          <w:rFonts w:ascii="Calibri" w:hAnsi="Calibri"/>
          <w:color w:val="1C283D"/>
          <w:sz w:val="22"/>
          <w:szCs w:val="22"/>
        </w:rPr>
        <w:t xml:space="preserve"> – (1) Yükseköğretim Kurulu tarafından belirlenen yabancı ülkelerden gelecek o ülkenin uyrukluğunda bulunan yabancı öğrencilerin kontenjanı bu Yönetmeliğin 14 üncü maddesinin birinci fıkrasında belirtilen sınırlamaya tabi değildir.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BEŞİNCİ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 xml:space="preserve">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w:t>
      </w:r>
      <w:proofErr w:type="spellStart"/>
      <w:r>
        <w:rPr>
          <w:rFonts w:ascii="Calibri" w:hAnsi="Calibri"/>
          <w:b/>
          <w:bCs/>
          <w:color w:val="1C283D"/>
          <w:sz w:val="22"/>
          <w:szCs w:val="22"/>
        </w:rPr>
        <w:t>Yandal</w:t>
      </w:r>
      <w:proofErr w:type="spellEnd"/>
      <w:r>
        <w:rPr>
          <w:rFonts w:ascii="Calibri" w:hAnsi="Calibri"/>
          <w:b/>
          <w:bCs/>
          <w:color w:val="1C283D"/>
          <w:sz w:val="22"/>
          <w:szCs w:val="22"/>
        </w:rPr>
        <w:t xml:space="preserve"> ve Kurumlar Arası Kredi Transferi</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16</w:t>
      </w:r>
      <w:r>
        <w:rPr>
          <w:rFonts w:ascii="Calibri" w:hAnsi="Calibri"/>
          <w:color w:val="1C283D"/>
          <w:sz w:val="22"/>
          <w:szCs w:val="22"/>
        </w:rPr>
        <w:t xml:space="preserve"> – (1) Aynı yükseköğretim kurumunda yürütülen lisans diploma programları arasında ilgili bölümlerin ve fakülte kurullarının önerisi üzerine senatonun onayı ile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 açılabilir.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Öğrencilerin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kabulü, o programın yürütüldüğü ilgili bölümün önerisi üzerine Fakülte Yönetim Kurulunun onayı ile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Aynı anda birden fazla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kayıt yapılamaz. Ancak, aynı anda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ile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kayıt yapılabilir.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öğrenci,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 kurum içi geçiş hükümlerine uygun koşulları sağladığında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yatay geçiş yapabilir.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Yetenek sınavı ile öğrenci alan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öğrenci kabulünde yetenek sınavında da başarılı olma şartı aranır.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(6) </w:t>
      </w:r>
      <w:r>
        <w:rPr>
          <w:rFonts w:ascii="Calibri" w:hAnsi="Calibri"/>
          <w:b/>
          <w:bCs/>
          <w:color w:val="1C283D"/>
          <w:sz w:val="22"/>
          <w:szCs w:val="22"/>
        </w:rPr>
        <w:t>(</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-16/8/2011-28027) </w:t>
      </w:r>
      <w:r>
        <w:rPr>
          <w:rFonts w:ascii="Calibri" w:hAnsi="Calibri"/>
          <w:color w:val="1C283D"/>
          <w:sz w:val="22"/>
          <w:szCs w:val="22"/>
        </w:rPr>
        <w:t xml:space="preserve">Öğrencinin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alması gereken dersler ve kredileri Yükseköğretim Kurulu tarafından belirlenen Yükseköğretim Alan Yeterlilikleri dikkate </w:t>
      </w:r>
      <w:r>
        <w:rPr>
          <w:rFonts w:ascii="Calibri" w:hAnsi="Calibri"/>
          <w:color w:val="1C283D"/>
          <w:sz w:val="22"/>
          <w:szCs w:val="22"/>
        </w:rPr>
        <w:lastRenderedPageBreak/>
        <w:t xml:space="preserve">alınarak ilgili bölümlerin ve fakülte kurullarının önerisi üzerine senatonun onayı ile belirlenir. İlgili çift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programının, öğrencinin programın sonunda asgari olarak kazanması gereken bilgi, beceri ve yetkinliklere göre tanımlanmış öğrenim kazanımlarına sahip olmasını sağlayacak şekilde düzenlenmesi gerekir.</w:t>
      </w:r>
    </w:p>
    <w:p w:rsidR="00CC27C7" w:rsidRDefault="00CC27C7" w:rsidP="00CC27C7">
      <w:pPr>
        <w:spacing w:line="240" w:lineRule="atLeast"/>
        <w:ind w:firstLine="567"/>
        <w:jc w:val="both"/>
        <w:rPr>
          <w:color w:val="1C283D"/>
        </w:rPr>
      </w:pPr>
      <w:r>
        <w:rPr>
          <w:rFonts w:ascii="Calibri" w:hAnsi="Calibri"/>
          <w:b/>
          <w:bCs/>
          <w:color w:val="1C283D"/>
          <w:sz w:val="22"/>
          <w:szCs w:val="22"/>
        </w:rPr>
        <w:t>Başvuru süresi</w:t>
      </w:r>
    </w:p>
    <w:p w:rsidR="00CC27C7" w:rsidRDefault="00CC27C7" w:rsidP="00CC27C7">
      <w:pPr>
        <w:spacing w:line="240" w:lineRule="atLeast"/>
        <w:ind w:firstLine="567"/>
        <w:jc w:val="both"/>
        <w:rPr>
          <w:color w:val="1C283D"/>
        </w:rPr>
      </w:pPr>
      <w:r>
        <w:rPr>
          <w:rFonts w:ascii="Calibri" w:hAnsi="Calibri"/>
          <w:b/>
          <w:bCs/>
          <w:color w:val="1C283D"/>
          <w:sz w:val="22"/>
          <w:szCs w:val="22"/>
        </w:rPr>
        <w:t>MADDE 17</w:t>
      </w:r>
      <w:r>
        <w:rPr>
          <w:rFonts w:ascii="Calibri" w:hAnsi="Calibri"/>
          <w:color w:val="1C283D"/>
          <w:sz w:val="22"/>
          <w:szCs w:val="22"/>
        </w:rPr>
        <w:t xml:space="preserve"> – (1)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Öğrenci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en erken üçüncü yarıyılın başında, en geç ise dört yıllık programlarda beşinci yarıyılın başında, beş yıllık programlarda yedinci yarıyılın başında, altı yıllık programlarda ise dokuzuncu yarıyılın başında başvurabilir.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Başvuru anında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olan ve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itibari ile en üst %20’sinde bulunan öğrenciler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başvurabilirler. Ayrıca aşağıdaki şartlar uyarınca yükseköğretim kurumları kontenjan belirleyebilir ve öğrenciler de bu şartlar kapsamında başvuru yapabilir: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yapacak öğrencilerin kontenjanı,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olmak şartıyla,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%20 oranından az olmamak üzere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b) Hukuk, tıp ve sağlık programları ile mühendislik programları hariç olmak üzere,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yapılacak programların kontenjanları da programların kontenjanının %20’sinden az olmamak üzere üniversite senatolarınca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c)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programındaki genel not ortalaması en az 100 üzerinden 70 olan ancak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ilgili sınıfında başarı sıralaması itibari ile en üst %20’sinde yer almayan öğrencilerden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yapılacak programın ilgili yıldaki taban puanından az olmamak üzere puana sahip olanlar da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programına başvurabilirler.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Çift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programına başvurabilmesi için öğrencinin başvurduğu yarıyıla kadar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 aldığı tüm dersleri başarıyla tamamlaması gerekir.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Öğrencinin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mezun olabilmesi için genel not ortalamasının en az 100 üzerinden 70 olması gerekir. Tüm çift </w:t>
      </w:r>
      <w:proofErr w:type="spellStart"/>
      <w:r>
        <w:rPr>
          <w:rFonts w:ascii="Calibri" w:hAnsi="Calibri"/>
          <w:color w:val="1C283D"/>
          <w:sz w:val="22"/>
          <w:szCs w:val="22"/>
        </w:rPr>
        <w:t>anadal</w:t>
      </w:r>
      <w:proofErr w:type="spellEnd"/>
      <w:r>
        <w:rPr>
          <w:rFonts w:ascii="Calibri" w:hAnsi="Calibri"/>
          <w:color w:val="1C283D"/>
          <w:sz w:val="22"/>
          <w:szCs w:val="22"/>
        </w:rPr>
        <w:t xml:space="preserve"> öğrenimi süresince öğrencinin genel not ortalaması bir defaya mahsus olmak üzere 100 üzerinden 65’e kadar düşebilir. Genel not ortalaması ikinci kez 100 üzerinden 65’in altına düşen öğrencinin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kaydı silinir.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programına devam eden öğrenciye mezuniyet diploması ancak devam ettiği birinci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mezun olması halinde verilebilir.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(6) Çift </w:t>
      </w:r>
      <w:proofErr w:type="spellStart"/>
      <w:r>
        <w:rPr>
          <w:rFonts w:ascii="Calibri" w:hAnsi="Calibri"/>
          <w:color w:val="1C283D"/>
          <w:sz w:val="22"/>
          <w:szCs w:val="22"/>
        </w:rPr>
        <w:t>anadal</w:t>
      </w:r>
      <w:proofErr w:type="spellEnd"/>
      <w:r>
        <w:rPr>
          <w:rFonts w:ascii="Calibri" w:hAnsi="Calibri"/>
          <w:color w:val="1C283D"/>
          <w:sz w:val="22"/>
          <w:szCs w:val="22"/>
        </w:rPr>
        <w:t xml:space="preserve"> ikinci diploma programında öğrenim gören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almış olduğu ve eşdeğerlikleri kabul edilen dersler, not çizelgesinde gösterilir.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(7)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mezuniyet hakkını elde eden ancak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 bitiremeyen öğrencilerin öğrenim süresi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programının bulunduğu fakültenin yönetim kurulunun kararı ile en fazla iki yarıyıl uzatılabilir.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(8)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iki yarıyıl üst üste ders almayan öğrencinin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diploma programından kaydı silinir.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(9)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-2/5/2014-28988)</w:t>
      </w:r>
      <w:r>
        <w:rPr>
          <w:rFonts w:ascii="Calibri" w:hAnsi="Calibri"/>
          <w:color w:val="1C283D"/>
          <w:sz w:val="22"/>
          <w:szCs w:val="22"/>
        </w:rPr>
        <w:t xml:space="preserve"> Çift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çıkarılan öğrencilerin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almış oldukları derslerin ne şekilde değerlendirileceği, senato tarafından belirlenir.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kabul edilmeyen ikinci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 başarılı olduğu dersler, genel not ortalamasına </w:t>
      </w:r>
      <w:proofErr w:type="gramStart"/>
      <w:r>
        <w:rPr>
          <w:rFonts w:ascii="Calibri" w:hAnsi="Calibri"/>
          <w:color w:val="1C283D"/>
          <w:sz w:val="22"/>
          <w:szCs w:val="22"/>
        </w:rPr>
        <w:t>dahil</w:t>
      </w:r>
      <w:proofErr w:type="gramEnd"/>
      <w:r>
        <w:rPr>
          <w:rFonts w:ascii="Calibri" w:hAnsi="Calibri"/>
          <w:color w:val="1C283D"/>
          <w:sz w:val="22"/>
          <w:szCs w:val="22"/>
        </w:rPr>
        <w:t xml:space="preserve"> edilmeksizin transkript ve diploma ekinde yer alır.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(10)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-2/5/2014-28988)</w:t>
      </w:r>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proofErr w:type="spellStart"/>
      <w:r>
        <w:rPr>
          <w:rFonts w:ascii="Calibri" w:hAnsi="Calibri"/>
          <w:b/>
          <w:bCs/>
          <w:color w:val="1C283D"/>
          <w:sz w:val="22"/>
          <w:szCs w:val="22"/>
        </w:rPr>
        <w:t>Yandal</w:t>
      </w:r>
      <w:proofErr w:type="spellEnd"/>
      <w:r>
        <w:rPr>
          <w:rFonts w:ascii="Calibri" w:hAnsi="Calibri"/>
          <w:b/>
          <w:bCs/>
          <w:color w:val="1C283D"/>
          <w:sz w:val="22"/>
          <w:szCs w:val="22"/>
        </w:rPr>
        <w:t xml:space="preserve"> programı</w:t>
      </w:r>
    </w:p>
    <w:p w:rsidR="00CC27C7" w:rsidRDefault="00CC27C7" w:rsidP="00CC27C7">
      <w:pPr>
        <w:spacing w:line="240" w:lineRule="atLeast"/>
        <w:ind w:firstLine="567"/>
        <w:jc w:val="both"/>
        <w:rPr>
          <w:color w:val="1C283D"/>
        </w:rPr>
      </w:pPr>
      <w:r>
        <w:rPr>
          <w:rFonts w:ascii="Calibri" w:hAnsi="Calibri"/>
          <w:b/>
          <w:bCs/>
          <w:color w:val="1C283D"/>
          <w:sz w:val="22"/>
          <w:szCs w:val="22"/>
        </w:rPr>
        <w:t>MADDE 18</w:t>
      </w:r>
      <w:r>
        <w:rPr>
          <w:rFonts w:ascii="Calibri" w:hAnsi="Calibri"/>
          <w:color w:val="1C283D"/>
          <w:sz w:val="22"/>
          <w:szCs w:val="22"/>
        </w:rPr>
        <w:t xml:space="preserve"> – (1) Yükseköğretim kurumları esaslarını ve başvuru koşullarını ilgili yönetim kurullarının teklifi ve senatolarının onayı ile belirleyerek,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 düzenleyebilir.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programlarını tamamlayanlara eğitim aldıkları alanda sadece başarı belgesi (</w:t>
      </w:r>
      <w:proofErr w:type="spellStart"/>
      <w:r>
        <w:rPr>
          <w:rFonts w:ascii="Calibri" w:hAnsi="Calibri"/>
          <w:color w:val="1C283D"/>
          <w:sz w:val="22"/>
          <w:szCs w:val="22"/>
        </w:rPr>
        <w:t>yandal</w:t>
      </w:r>
      <w:proofErr w:type="spellEnd"/>
      <w:r>
        <w:rPr>
          <w:rFonts w:ascii="Calibri" w:hAnsi="Calibri"/>
          <w:color w:val="1C283D"/>
          <w:sz w:val="22"/>
          <w:szCs w:val="22"/>
        </w:rPr>
        <w:t xml:space="preserve"> sertifikası) düzenlenir. Bu belgeler diploma yerine geçmez.</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programlarının kontenjanları, ilgili programın açılmasına karar veren yönetim kurulu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(4) Başvurular, o programın yürütüldüğü ilgili yönetim kurulları tarafından değerlendirilir.</w:t>
      </w:r>
    </w:p>
    <w:p w:rsidR="00CC27C7" w:rsidRDefault="00CC27C7" w:rsidP="00CC27C7">
      <w:pPr>
        <w:spacing w:line="240" w:lineRule="atLeast"/>
        <w:ind w:firstLine="567"/>
        <w:jc w:val="both"/>
        <w:rPr>
          <w:color w:val="1C283D"/>
        </w:rPr>
      </w:pPr>
      <w:r>
        <w:rPr>
          <w:rFonts w:ascii="Calibri" w:hAnsi="Calibri"/>
          <w:b/>
          <w:bCs/>
          <w:color w:val="1C283D"/>
          <w:sz w:val="22"/>
          <w:szCs w:val="22"/>
        </w:rPr>
        <w:lastRenderedPageBreak/>
        <w:t>Başvuru süresi</w:t>
      </w:r>
    </w:p>
    <w:p w:rsidR="00CC27C7" w:rsidRDefault="00CC27C7" w:rsidP="00CC27C7">
      <w:pPr>
        <w:spacing w:line="240" w:lineRule="atLeast"/>
        <w:ind w:firstLine="567"/>
        <w:jc w:val="both"/>
        <w:rPr>
          <w:color w:val="1C283D"/>
        </w:rPr>
      </w:pPr>
      <w:r>
        <w:rPr>
          <w:rFonts w:ascii="Calibri" w:hAnsi="Calibri"/>
          <w:b/>
          <w:bCs/>
          <w:color w:val="1C283D"/>
          <w:sz w:val="22"/>
          <w:szCs w:val="22"/>
        </w:rPr>
        <w:t>MADDE 19</w:t>
      </w:r>
      <w:r>
        <w:rPr>
          <w:rFonts w:ascii="Calibri" w:hAnsi="Calibri"/>
          <w:color w:val="1C283D"/>
          <w:sz w:val="22"/>
          <w:szCs w:val="22"/>
        </w:rPr>
        <w:t xml:space="preserve"> – (1) Öğrenci,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w:t>
      </w:r>
      <w:proofErr w:type="spellStart"/>
      <w:r>
        <w:rPr>
          <w:rFonts w:ascii="Calibri" w:hAnsi="Calibri"/>
          <w:color w:val="1C283D"/>
          <w:sz w:val="22"/>
          <w:szCs w:val="22"/>
        </w:rPr>
        <w:t>anadal</w:t>
      </w:r>
      <w:proofErr w:type="spellEnd"/>
      <w:r>
        <w:rPr>
          <w:rFonts w:ascii="Calibri" w:hAnsi="Calibri"/>
          <w:color w:val="1C283D"/>
          <w:sz w:val="22"/>
          <w:szCs w:val="22"/>
        </w:rPr>
        <w:t xml:space="preserve"> lisans programının en erken üçüncü, en geç altıncı yarıyılın başında başvurabilir.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başvurduğu yarıyıla kadar aldığı lisans programındaki tüm kredili dersleri başarıyla tamamlamış olan öğrenciler başvurabilir.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Öğrencinin başvuru sırasında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genel not ortalamasının en az 100 üzerinden 65 olması gerekir. </w:t>
      </w:r>
    </w:p>
    <w:p w:rsidR="00CC27C7" w:rsidRDefault="00CC27C7" w:rsidP="00CC27C7">
      <w:pPr>
        <w:spacing w:line="240" w:lineRule="atLeast"/>
        <w:ind w:firstLine="567"/>
        <w:jc w:val="both"/>
        <w:rPr>
          <w:color w:val="1C283D"/>
        </w:rPr>
      </w:pPr>
      <w:r>
        <w:rPr>
          <w:rFonts w:ascii="Calibri" w:hAnsi="Calibri"/>
          <w:b/>
          <w:bCs/>
          <w:color w:val="1C283D"/>
          <w:sz w:val="22"/>
          <w:szCs w:val="22"/>
        </w:rPr>
        <w:t>Krediler</w:t>
      </w:r>
    </w:p>
    <w:p w:rsidR="00CC27C7" w:rsidRDefault="00CC27C7" w:rsidP="00CC27C7">
      <w:pPr>
        <w:spacing w:line="240" w:lineRule="atLeast"/>
        <w:ind w:firstLine="567"/>
        <w:jc w:val="both"/>
        <w:rPr>
          <w:color w:val="1C283D"/>
        </w:rPr>
      </w:pPr>
      <w:r>
        <w:rPr>
          <w:rFonts w:ascii="Calibri" w:hAnsi="Calibri"/>
          <w:b/>
          <w:bCs/>
          <w:color w:val="1C283D"/>
          <w:sz w:val="22"/>
          <w:szCs w:val="22"/>
        </w:rPr>
        <w:t>MADDE 20</w:t>
      </w:r>
      <w:r>
        <w:rPr>
          <w:rFonts w:ascii="Calibri" w:hAnsi="Calibri"/>
          <w:color w:val="1C283D"/>
          <w:sz w:val="22"/>
          <w:szCs w:val="22"/>
        </w:rPr>
        <w:t xml:space="preserve"> – (1)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başvurusu kabul edilen öğrenci,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devam edebilmesi için öğrencinin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not ortalamasının en az 100 üzerinden 60 olması şarttır. Bu şartı sağlayamayan öğrencinin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kaydı silinir. Öğrencinin başarılı olduğu ve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programına sayılmayan dersler, genel not ortalamasına </w:t>
      </w:r>
      <w:proofErr w:type="gramStart"/>
      <w:r>
        <w:rPr>
          <w:rFonts w:ascii="Calibri" w:hAnsi="Calibri"/>
          <w:color w:val="1C283D"/>
          <w:sz w:val="22"/>
          <w:szCs w:val="22"/>
        </w:rPr>
        <w:t>dahil</w:t>
      </w:r>
      <w:proofErr w:type="gramEnd"/>
      <w:r>
        <w:rPr>
          <w:rFonts w:ascii="Calibri" w:hAnsi="Calibri"/>
          <w:color w:val="1C283D"/>
          <w:sz w:val="22"/>
          <w:szCs w:val="22"/>
        </w:rPr>
        <w:t xml:space="preserve"> edilmeksizin transkript ve diploma ekinde yer alır.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programından mezuniyet hakkını elde eden ancak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programını bitiremeyen öğrencilere ilgili yönetim kurullarının kararı ile en fazla bir yarıyıl ek süre tanınır. </w:t>
      </w:r>
    </w:p>
    <w:p w:rsidR="00CC27C7" w:rsidRDefault="00CC27C7" w:rsidP="00CC27C7">
      <w:pPr>
        <w:spacing w:line="240" w:lineRule="atLeast"/>
        <w:ind w:firstLine="567"/>
        <w:jc w:val="both"/>
        <w:rPr>
          <w:color w:val="1C283D"/>
        </w:rPr>
      </w:pPr>
      <w:r>
        <w:rPr>
          <w:rFonts w:ascii="Calibri" w:hAnsi="Calibri"/>
          <w:b/>
          <w:bCs/>
          <w:color w:val="1C283D"/>
          <w:sz w:val="22"/>
          <w:szCs w:val="22"/>
        </w:rPr>
        <w:t>Mezuniyet</w:t>
      </w:r>
    </w:p>
    <w:p w:rsidR="00CC27C7" w:rsidRDefault="00CC27C7" w:rsidP="00CC27C7">
      <w:pPr>
        <w:spacing w:line="240" w:lineRule="atLeast"/>
        <w:ind w:firstLine="567"/>
        <w:jc w:val="both"/>
        <w:rPr>
          <w:color w:val="1C283D"/>
        </w:rPr>
      </w:pPr>
      <w:r>
        <w:rPr>
          <w:rFonts w:ascii="Calibri" w:hAnsi="Calibri"/>
          <w:b/>
          <w:bCs/>
          <w:color w:val="1C283D"/>
          <w:sz w:val="22"/>
          <w:szCs w:val="22"/>
        </w:rPr>
        <w:t>MADDE 21</w:t>
      </w:r>
      <w:r>
        <w:rPr>
          <w:rFonts w:ascii="Calibri" w:hAnsi="Calibri"/>
          <w:color w:val="1C283D"/>
          <w:sz w:val="22"/>
          <w:szCs w:val="22"/>
        </w:rPr>
        <w:t xml:space="preserve"> – (1) Öğrencinin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programındaki başarı durumu, </w:t>
      </w:r>
      <w:proofErr w:type="spellStart"/>
      <w:r>
        <w:rPr>
          <w:rFonts w:ascii="Calibri" w:hAnsi="Calibri"/>
          <w:color w:val="1C283D"/>
          <w:sz w:val="22"/>
          <w:szCs w:val="22"/>
        </w:rPr>
        <w:t>anadal</w:t>
      </w:r>
      <w:proofErr w:type="spellEnd"/>
      <w:r>
        <w:rPr>
          <w:rFonts w:ascii="Calibri" w:hAnsi="Calibri"/>
          <w:color w:val="1C283D"/>
          <w:sz w:val="22"/>
          <w:szCs w:val="22"/>
        </w:rPr>
        <w:t xml:space="preserve"> programındaki mezuniyetini etkilemez.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w:t>
      </w:r>
      <w:proofErr w:type="spellStart"/>
      <w:r>
        <w:rPr>
          <w:rFonts w:ascii="Calibri" w:hAnsi="Calibri"/>
          <w:color w:val="1C283D"/>
          <w:sz w:val="22"/>
          <w:szCs w:val="22"/>
        </w:rPr>
        <w:t>Yandal</w:t>
      </w:r>
      <w:proofErr w:type="spellEnd"/>
      <w:r>
        <w:rPr>
          <w:rFonts w:ascii="Calibri" w:hAnsi="Calibri"/>
          <w:color w:val="1C283D"/>
          <w:sz w:val="22"/>
          <w:szCs w:val="22"/>
        </w:rPr>
        <w:t xml:space="preserve"> öğrencisi, öğrenim sürecinin herhangi bir yarıyılında programı kendi isteğiyle bırakabilir.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kayıt sildiren öğrenci, aynı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programına tekrar kayıt yaptıramaz.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iki yarıyıl üst üste ders almayan öğrencinin bu programdan kaydı silinir.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programından çıkarılan öğrencilerin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programında almış oldukları derslerin ne şekilde değerlendirileceği, senato tarafından belirlenir.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(5) Senato kararı </w:t>
      </w:r>
      <w:proofErr w:type="gramStart"/>
      <w:r>
        <w:rPr>
          <w:rFonts w:ascii="Calibri" w:hAnsi="Calibri"/>
          <w:color w:val="1C283D"/>
          <w:sz w:val="22"/>
          <w:szCs w:val="22"/>
        </w:rPr>
        <w:t>ile,</w:t>
      </w:r>
      <w:proofErr w:type="gramEnd"/>
      <w:r>
        <w:rPr>
          <w:rFonts w:ascii="Calibri" w:hAnsi="Calibri"/>
          <w:color w:val="1C283D"/>
          <w:sz w:val="22"/>
          <w:szCs w:val="22"/>
        </w:rPr>
        <w:t xml:space="preserve"> </w:t>
      </w:r>
      <w:proofErr w:type="spellStart"/>
      <w:r>
        <w:rPr>
          <w:rFonts w:ascii="Calibri" w:hAnsi="Calibri"/>
          <w:color w:val="1C283D"/>
          <w:sz w:val="22"/>
          <w:szCs w:val="22"/>
        </w:rPr>
        <w:t>yandal</w:t>
      </w:r>
      <w:proofErr w:type="spellEnd"/>
      <w:r>
        <w:rPr>
          <w:rFonts w:ascii="Calibri" w:hAnsi="Calibri"/>
          <w:color w:val="1C283D"/>
          <w:sz w:val="22"/>
          <w:szCs w:val="22"/>
        </w:rPr>
        <w:t xml:space="preserve"> programlarına ilişkin bu Yönetmelikte belirtilenlere ilave olarak yeni koşullar getirilebilir öngörülen asgari başarı notları yükseltilebilir.</w:t>
      </w:r>
    </w:p>
    <w:p w:rsidR="00CC27C7" w:rsidRDefault="00CC27C7" w:rsidP="00CC27C7">
      <w:pPr>
        <w:spacing w:line="240" w:lineRule="atLeast"/>
        <w:ind w:firstLine="567"/>
        <w:jc w:val="both"/>
        <w:rPr>
          <w:color w:val="1C283D"/>
        </w:rPr>
      </w:pPr>
      <w:r>
        <w:rPr>
          <w:rFonts w:ascii="Calibri" w:hAnsi="Calibri"/>
          <w:b/>
          <w:bCs/>
          <w:color w:val="1C283D"/>
          <w:sz w:val="22"/>
          <w:szCs w:val="22"/>
        </w:rPr>
        <w:t>Değişim programları ve özel öğrenci olarak ders alma</w:t>
      </w:r>
    </w:p>
    <w:p w:rsidR="00CC27C7" w:rsidRDefault="00CC27C7" w:rsidP="00CC27C7">
      <w:pPr>
        <w:spacing w:line="240" w:lineRule="atLeast"/>
        <w:ind w:firstLine="567"/>
        <w:jc w:val="both"/>
        <w:rPr>
          <w:color w:val="1C283D"/>
        </w:rPr>
      </w:pPr>
      <w:r>
        <w:rPr>
          <w:rFonts w:ascii="Calibri" w:hAnsi="Calibri"/>
          <w:b/>
          <w:bCs/>
          <w:color w:val="1C283D"/>
          <w:sz w:val="22"/>
          <w:szCs w:val="22"/>
        </w:rPr>
        <w:t>MADDE 22</w:t>
      </w:r>
      <w:r>
        <w:rPr>
          <w:rFonts w:ascii="Calibri" w:hAnsi="Calibri"/>
          <w:color w:val="1C283D"/>
          <w:sz w:val="22"/>
          <w:szCs w:val="22"/>
        </w:rPr>
        <w:t xml:space="preserve">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Öğrencinin özel öğrencilikte ve değişim programında geçirdiği süre, öğretim süresine </w:t>
      </w:r>
      <w:proofErr w:type="gramStart"/>
      <w:r>
        <w:rPr>
          <w:rFonts w:ascii="Calibri" w:hAnsi="Calibri"/>
          <w:color w:val="1C283D"/>
          <w:sz w:val="22"/>
          <w:szCs w:val="22"/>
        </w:rPr>
        <w:t>dahildir</w:t>
      </w:r>
      <w:proofErr w:type="gramEnd"/>
      <w:r>
        <w:rPr>
          <w:rFonts w:ascii="Calibri" w:hAnsi="Calibri"/>
          <w:color w:val="1C283D"/>
          <w:sz w:val="22"/>
          <w:szCs w:val="22"/>
        </w:rPr>
        <w:t>.</w:t>
      </w:r>
    </w:p>
    <w:p w:rsidR="00CC27C7" w:rsidRDefault="00CC27C7" w:rsidP="00CC27C7">
      <w:pPr>
        <w:spacing w:line="240" w:lineRule="atLeast"/>
        <w:ind w:firstLine="567"/>
        <w:jc w:val="both"/>
        <w:rPr>
          <w:color w:val="1C283D"/>
        </w:rPr>
      </w:pPr>
      <w:r>
        <w:rPr>
          <w:rFonts w:ascii="Calibri" w:hAnsi="Calibri"/>
          <w:color w:val="1C283D"/>
          <w:sz w:val="22"/>
          <w:szCs w:val="22"/>
        </w:rPr>
        <w:t xml:space="preserve">(3) </w:t>
      </w:r>
      <w:r>
        <w:rPr>
          <w:rFonts w:ascii="Calibri" w:hAnsi="Calibri"/>
          <w:b/>
          <w:bCs/>
          <w:color w:val="1C283D"/>
          <w:sz w:val="22"/>
          <w:szCs w:val="22"/>
        </w:rPr>
        <w:t>(</w:t>
      </w:r>
      <w:proofErr w:type="gramStart"/>
      <w:r>
        <w:rPr>
          <w:rFonts w:ascii="Calibri" w:hAnsi="Calibri"/>
          <w:b/>
          <w:bCs/>
          <w:color w:val="1C283D"/>
          <w:sz w:val="22"/>
          <w:szCs w:val="22"/>
        </w:rPr>
        <w:t>Mülga:RG</w:t>
      </w:r>
      <w:proofErr w:type="gramEnd"/>
      <w:r>
        <w:rPr>
          <w:rFonts w:ascii="Calibri" w:hAnsi="Calibri"/>
          <w:b/>
          <w:bCs/>
          <w:color w:val="1C283D"/>
          <w:sz w:val="22"/>
          <w:szCs w:val="22"/>
        </w:rPr>
        <w:t xml:space="preserve">-2/5/2014-28988)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Özel öğrencilikte ve değişim programındaki öğrenciler katkı payını kayıtlı olduğu yükseköğretim kurumuna öder. </w:t>
      </w:r>
    </w:p>
    <w:p w:rsidR="00CC27C7" w:rsidRDefault="00CC27C7" w:rsidP="00CC27C7">
      <w:pPr>
        <w:spacing w:line="240" w:lineRule="atLeast"/>
        <w:ind w:firstLine="567"/>
        <w:jc w:val="both"/>
        <w:rPr>
          <w:color w:val="1C283D"/>
        </w:rPr>
      </w:pPr>
      <w:r>
        <w:rPr>
          <w:rFonts w:ascii="Calibri" w:hAnsi="Calibri"/>
          <w:color w:val="1C283D"/>
          <w:sz w:val="22"/>
          <w:szCs w:val="22"/>
        </w:rPr>
        <w:t>(5) Özel öğrenci olarak yaz okullarına katılacak öğrenciler, yaz okulu ücretini dersi aldıkları yükseköğretim kurumuna öderler.</w:t>
      </w:r>
    </w:p>
    <w:p w:rsidR="00CC27C7" w:rsidRDefault="00CC27C7" w:rsidP="00CC27C7">
      <w:pPr>
        <w:spacing w:line="240" w:lineRule="atLeast"/>
        <w:ind w:firstLine="567"/>
        <w:jc w:val="both"/>
        <w:rPr>
          <w:color w:val="1C283D"/>
        </w:rPr>
      </w:pPr>
      <w:r>
        <w:rPr>
          <w:rFonts w:ascii="Calibri" w:hAnsi="Calibri"/>
          <w:color w:val="1C283D"/>
          <w:sz w:val="22"/>
          <w:szCs w:val="22"/>
        </w:rPr>
        <w:t>(6) Öğretim dili Türkçe olan programlarda öğrenim gören öğrencilerin öğretim dili yabancı dil olan programlardan da ders alabilmeleri için yabancı dil düzeylerinin yeterli olduğunu belgelemeleri gerekir.</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Yükseköğretim kurumlarında eşzamanlı öğrenim görme </w:t>
      </w:r>
    </w:p>
    <w:p w:rsidR="00CC27C7" w:rsidRDefault="00CC27C7" w:rsidP="00CC27C7">
      <w:pPr>
        <w:spacing w:line="240" w:lineRule="atLeast"/>
        <w:ind w:firstLine="567"/>
        <w:jc w:val="both"/>
        <w:rPr>
          <w:color w:val="1C283D"/>
        </w:rPr>
      </w:pPr>
      <w:r>
        <w:rPr>
          <w:rFonts w:ascii="Calibri" w:hAnsi="Calibri"/>
          <w:b/>
          <w:bCs/>
          <w:color w:val="1C283D"/>
          <w:sz w:val="22"/>
          <w:szCs w:val="22"/>
        </w:rPr>
        <w:t>MADDE 23</w:t>
      </w:r>
      <w:r>
        <w:rPr>
          <w:rFonts w:ascii="Calibri" w:hAnsi="Calibri"/>
          <w:color w:val="1C283D"/>
          <w:sz w:val="22"/>
          <w:szCs w:val="22"/>
        </w:rPr>
        <w:t xml:space="preserve"> – (1) Örgün öğretim yapan farklı yükseköğretim kurumlarına aynı yarıyılda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öğrenci kaydı yaptırılamaz ve öğrenim görülemez.</w:t>
      </w:r>
    </w:p>
    <w:p w:rsidR="00CC27C7" w:rsidRDefault="00CC27C7" w:rsidP="00CC27C7">
      <w:pPr>
        <w:spacing w:line="240" w:lineRule="atLeast"/>
        <w:ind w:firstLine="567"/>
        <w:jc w:val="both"/>
        <w:rPr>
          <w:color w:val="1C283D"/>
        </w:rPr>
      </w:pPr>
      <w:r>
        <w:rPr>
          <w:rFonts w:ascii="Calibri" w:hAnsi="Calibri"/>
          <w:color w:val="1C283D"/>
          <w:sz w:val="22"/>
          <w:szCs w:val="22"/>
        </w:rPr>
        <w:t xml:space="preserve">(2) Yükseköğretim kurumlarında herhangi bir örgün meslek yüksekokulu programına kayıtlı öğrenciler veya bu programlardan mezun olanlar,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sistemi ile yürütülmekte olan ve kontenjan sınırlaması olmayan ve okudukları veya mezun oldukları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programından farklı olmak kaydıyla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programlarına kayıt yaptırabilirler.</w:t>
      </w:r>
    </w:p>
    <w:p w:rsidR="00CC27C7" w:rsidRDefault="00CC27C7" w:rsidP="00CC27C7">
      <w:pPr>
        <w:spacing w:line="240" w:lineRule="atLeast"/>
        <w:ind w:firstLine="567"/>
        <w:jc w:val="both"/>
        <w:rPr>
          <w:color w:val="1C283D"/>
        </w:rPr>
      </w:pPr>
      <w:r>
        <w:rPr>
          <w:rFonts w:ascii="Calibri" w:hAnsi="Calibri"/>
          <w:color w:val="1C283D"/>
          <w:sz w:val="22"/>
          <w:szCs w:val="22"/>
        </w:rPr>
        <w:lastRenderedPageBreak/>
        <w:t xml:space="preserve">(3) Yükseköğretim kurumlarının herhangi bir örgün lisans programında kayıtlı öğrenciler veya bu programlardan mezun olanlar,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sistemi ile yürütülmekte olan ve kontenjan sınırlaması olmayan ve okudukları veya mezun oldukları lisans programından farklı olmak kaydıyla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lisans veya ön lisans programlarına kayıt yaptırabilirler.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Örgün meslek yüksekokulu programları öğrencileri veya mezunlarından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programına da kayıt yaptırmış olanlar lisans programlarına dikey geçiş işlemlerinde, mezun olacakları örgün meslek yüksekokulu veya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programından birini tercih ederler.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 (5) Örgün öğretim ile birlikte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programına kaydolacak erkek öğrencilerin askerlik işlemleri, örgün öğretimdeki statülerine göre yapılır. Bu durumdaki öğrencilerin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programlarına kaydolmaları, askerlik işlemleri ile ilgili herhangi bir hak sağlamaz.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programlarına kayıt yaptırdıktan sonra örgün öğretimden kaydını sildiren öğrenciler bu durumlarını belgelendirmek koşuluyla askerlik işlemleri </w:t>
      </w:r>
      <w:proofErr w:type="gramStart"/>
      <w:r>
        <w:rPr>
          <w:rFonts w:ascii="Calibri" w:hAnsi="Calibri"/>
          <w:color w:val="1C283D"/>
          <w:sz w:val="22"/>
          <w:szCs w:val="22"/>
        </w:rPr>
        <w:t>dahil</w:t>
      </w:r>
      <w:proofErr w:type="gramEnd"/>
      <w:r>
        <w:rPr>
          <w:rFonts w:ascii="Calibri" w:hAnsi="Calibri"/>
          <w:color w:val="1C283D"/>
          <w:sz w:val="22"/>
          <w:szCs w:val="22"/>
        </w:rPr>
        <w:t xml:space="preserve"> tüm öğrencilik hizmetlerinden yararlanırlar.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ALTINCI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Özel Durumlar</w:t>
      </w:r>
    </w:p>
    <w:p w:rsidR="00CC27C7" w:rsidRDefault="00CC27C7" w:rsidP="00CC27C7">
      <w:pPr>
        <w:spacing w:line="240" w:lineRule="atLeast"/>
        <w:ind w:firstLine="567"/>
        <w:jc w:val="both"/>
        <w:rPr>
          <w:color w:val="1C283D"/>
        </w:rPr>
      </w:pPr>
      <w:proofErr w:type="gramStart"/>
      <w:r>
        <w:rPr>
          <w:rFonts w:ascii="Calibri" w:hAnsi="Calibri"/>
          <w:b/>
          <w:bCs/>
          <w:color w:val="1C283D"/>
          <w:sz w:val="22"/>
          <w:szCs w:val="22"/>
        </w:rPr>
        <w:t>MADDE 24</w:t>
      </w:r>
      <w:r>
        <w:rPr>
          <w:rFonts w:ascii="Calibri" w:hAnsi="Calibri"/>
          <w:color w:val="1C283D"/>
          <w:sz w:val="22"/>
          <w:szCs w:val="22"/>
        </w:rPr>
        <w:t xml:space="preserve">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Pr>
          <w:rFonts w:ascii="Calibri" w:hAnsi="Calibri"/>
          <w:color w:val="1C283D"/>
          <w:sz w:val="22"/>
          <w:szCs w:val="22"/>
        </w:rPr>
        <w:t>yıl sonu</w:t>
      </w:r>
      <w:proofErr w:type="gramEnd"/>
      <w:r>
        <w:rPr>
          <w:rFonts w:ascii="Calibri" w:hAnsi="Calibri"/>
          <w:color w:val="1C283D"/>
          <w:sz w:val="22"/>
          <w:szCs w:val="22"/>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CC27C7" w:rsidRDefault="00CC27C7" w:rsidP="00CC27C7">
      <w:pPr>
        <w:spacing w:line="240" w:lineRule="atLeast"/>
        <w:ind w:firstLine="567"/>
        <w:jc w:val="both"/>
        <w:rPr>
          <w:color w:val="1C283D"/>
        </w:rPr>
      </w:pPr>
      <w:r>
        <w:rPr>
          <w:rFonts w:ascii="Calibri" w:hAnsi="Calibri"/>
          <w:color w:val="1C283D"/>
          <w:sz w:val="22"/>
          <w:szCs w:val="22"/>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CC27C7" w:rsidRDefault="00CC27C7" w:rsidP="00CC27C7">
      <w:pPr>
        <w:spacing w:line="240" w:lineRule="atLeast"/>
        <w:ind w:firstLine="567"/>
        <w:jc w:val="both"/>
        <w:rPr>
          <w:color w:val="1C283D"/>
        </w:rPr>
      </w:pPr>
      <w:r>
        <w:rPr>
          <w:rFonts w:ascii="Calibri" w:hAnsi="Calibri"/>
          <w:color w:val="1C283D"/>
          <w:sz w:val="22"/>
          <w:szCs w:val="22"/>
        </w:rPr>
        <w:t> </w:t>
      </w:r>
    </w:p>
    <w:p w:rsidR="00CC27C7" w:rsidRDefault="00CC27C7" w:rsidP="00CC27C7">
      <w:pPr>
        <w:spacing w:line="240" w:lineRule="atLeast"/>
        <w:ind w:firstLine="567"/>
        <w:jc w:val="center"/>
        <w:rPr>
          <w:color w:val="1C283D"/>
        </w:rPr>
      </w:pPr>
      <w:r>
        <w:rPr>
          <w:rFonts w:ascii="Calibri" w:hAnsi="Calibri"/>
          <w:b/>
          <w:bCs/>
          <w:color w:val="1C283D"/>
          <w:sz w:val="22"/>
          <w:szCs w:val="22"/>
        </w:rPr>
        <w:t>YEDİNCİ BÖLÜM</w:t>
      </w:r>
    </w:p>
    <w:p w:rsidR="00CC27C7" w:rsidRDefault="00CC27C7" w:rsidP="00CC27C7">
      <w:pPr>
        <w:spacing w:line="240" w:lineRule="atLeast"/>
        <w:ind w:firstLine="567"/>
        <w:jc w:val="center"/>
        <w:rPr>
          <w:color w:val="1C283D"/>
        </w:rPr>
      </w:pPr>
      <w:r>
        <w:rPr>
          <w:rFonts w:ascii="Calibri" w:hAnsi="Calibri"/>
          <w:b/>
          <w:bCs/>
          <w:color w:val="1C283D"/>
          <w:sz w:val="22"/>
          <w:szCs w:val="22"/>
        </w:rPr>
        <w:t>Çeşitli ve Son Hükümler</w:t>
      </w:r>
    </w:p>
    <w:p w:rsidR="00CC27C7" w:rsidRDefault="00CC27C7" w:rsidP="00CC27C7">
      <w:pPr>
        <w:spacing w:line="240" w:lineRule="atLeast"/>
        <w:ind w:firstLine="567"/>
        <w:jc w:val="both"/>
        <w:rPr>
          <w:color w:val="1C283D"/>
        </w:rPr>
      </w:pPr>
      <w:r>
        <w:rPr>
          <w:rFonts w:ascii="Calibri" w:hAnsi="Calibri"/>
          <w:b/>
          <w:bCs/>
          <w:color w:val="1C283D"/>
          <w:sz w:val="22"/>
          <w:szCs w:val="22"/>
        </w:rPr>
        <w:t>MADDE 25</w:t>
      </w:r>
      <w:r>
        <w:rPr>
          <w:rFonts w:ascii="Calibri" w:hAnsi="Calibri"/>
          <w:color w:val="1C283D"/>
          <w:sz w:val="22"/>
          <w:szCs w:val="22"/>
        </w:rPr>
        <w:t xml:space="preserve">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CC27C7" w:rsidRDefault="00CC27C7" w:rsidP="00CC27C7">
      <w:pPr>
        <w:spacing w:line="240" w:lineRule="atLeast"/>
        <w:ind w:firstLine="567"/>
        <w:jc w:val="both"/>
        <w:rPr>
          <w:color w:val="1C283D"/>
        </w:rPr>
      </w:pPr>
      <w:proofErr w:type="gramStart"/>
      <w:r>
        <w:rPr>
          <w:rFonts w:ascii="Calibri" w:hAnsi="Calibri"/>
          <w:color w:val="1C283D"/>
          <w:sz w:val="22"/>
          <w:szCs w:val="22"/>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CC27C7" w:rsidRDefault="00CC27C7" w:rsidP="00CC27C7">
      <w:pPr>
        <w:spacing w:line="240" w:lineRule="atLeast"/>
        <w:ind w:firstLine="567"/>
        <w:jc w:val="both"/>
        <w:rPr>
          <w:color w:val="1C283D"/>
        </w:rPr>
      </w:pPr>
      <w:r>
        <w:rPr>
          <w:rFonts w:ascii="Calibri" w:hAnsi="Calibri"/>
          <w:color w:val="1C283D"/>
          <w:sz w:val="22"/>
          <w:szCs w:val="22"/>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CC27C7" w:rsidRDefault="00CC27C7" w:rsidP="00CC27C7">
      <w:pPr>
        <w:spacing w:line="240" w:lineRule="atLeast"/>
        <w:ind w:firstLine="567"/>
        <w:jc w:val="both"/>
        <w:rPr>
          <w:color w:val="1C283D"/>
        </w:rPr>
      </w:pPr>
      <w:r>
        <w:rPr>
          <w:rFonts w:ascii="Calibri" w:hAnsi="Calibri"/>
          <w:color w:val="1C283D"/>
          <w:sz w:val="22"/>
          <w:szCs w:val="22"/>
        </w:rPr>
        <w:t xml:space="preserve">(4)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 xml:space="preserve">-2/5/2014-28988) </w:t>
      </w:r>
      <w:r>
        <w:rPr>
          <w:rFonts w:ascii="Calibri" w:hAnsi="Calibri"/>
          <w:color w:val="1C283D"/>
          <w:sz w:val="22"/>
          <w:szCs w:val="22"/>
        </w:rPr>
        <w:t xml:space="preserve">Dikey geçiş ile lisans programlarına yerleşen öğrencilerin diploma programından mezuniyet koşullarını sağlamaları halinde, lisans not ortalamaları </w:t>
      </w:r>
      <w:proofErr w:type="spellStart"/>
      <w:r>
        <w:rPr>
          <w:rFonts w:ascii="Calibri" w:hAnsi="Calibri"/>
          <w:color w:val="1C283D"/>
          <w:sz w:val="22"/>
          <w:szCs w:val="22"/>
        </w:rPr>
        <w:t>önlisans</w:t>
      </w:r>
      <w:proofErr w:type="spellEnd"/>
      <w:r>
        <w:rPr>
          <w:rFonts w:ascii="Calibri" w:hAnsi="Calibri"/>
          <w:color w:val="1C283D"/>
          <w:sz w:val="22"/>
          <w:szCs w:val="22"/>
        </w:rPr>
        <w:t xml:space="preserve"> programında alarak lisans programında intibakı yapılan dersler ile lisans eğitimi sırasında aldığı dersler üzerinden hesaplanır.</w:t>
      </w:r>
    </w:p>
    <w:p w:rsidR="00CC27C7" w:rsidRDefault="00CC27C7" w:rsidP="00CC27C7">
      <w:pPr>
        <w:spacing w:line="240" w:lineRule="atLeast"/>
        <w:ind w:firstLine="567"/>
        <w:jc w:val="both"/>
        <w:rPr>
          <w:color w:val="1C283D"/>
        </w:rPr>
      </w:pPr>
      <w:r>
        <w:rPr>
          <w:rFonts w:ascii="Calibri" w:hAnsi="Calibri"/>
          <w:color w:val="1C283D"/>
          <w:sz w:val="22"/>
          <w:szCs w:val="22"/>
        </w:rPr>
        <w:lastRenderedPageBreak/>
        <w:t>(5) Özel öğrenci veya değişim programına katılan öğrencilerin kurumlar arası yatay geçiş yapmaları halinde sadece kayıtlı oldukları diploma programında kabul edilmiş olan dersleri transfer edilebilir.</w:t>
      </w:r>
    </w:p>
    <w:p w:rsidR="00CC27C7" w:rsidRDefault="00CC27C7" w:rsidP="00CC27C7">
      <w:pPr>
        <w:spacing w:line="240" w:lineRule="atLeast"/>
        <w:ind w:firstLine="567"/>
        <w:jc w:val="both"/>
        <w:rPr>
          <w:color w:val="1C283D"/>
        </w:rPr>
      </w:pPr>
      <w:r>
        <w:rPr>
          <w:rFonts w:ascii="Calibri" w:hAnsi="Calibri"/>
          <w:b/>
          <w:bCs/>
          <w:color w:val="1C283D"/>
          <w:sz w:val="22"/>
          <w:szCs w:val="22"/>
        </w:rPr>
        <w:t>Yürürlükten kaldırılan yönetmelik</w:t>
      </w:r>
    </w:p>
    <w:p w:rsidR="00CC27C7" w:rsidRDefault="00CC27C7" w:rsidP="00CC27C7">
      <w:pPr>
        <w:spacing w:line="240" w:lineRule="atLeast"/>
        <w:ind w:firstLine="567"/>
        <w:jc w:val="both"/>
        <w:rPr>
          <w:color w:val="1C283D"/>
        </w:rPr>
      </w:pPr>
      <w:r>
        <w:rPr>
          <w:rFonts w:ascii="Calibri" w:hAnsi="Calibri"/>
          <w:b/>
          <w:bCs/>
          <w:color w:val="1C283D"/>
          <w:sz w:val="22"/>
          <w:szCs w:val="22"/>
        </w:rPr>
        <w:t>MADDE 26</w:t>
      </w:r>
      <w:r>
        <w:rPr>
          <w:rFonts w:ascii="Calibri" w:hAnsi="Calibri"/>
          <w:color w:val="1C283D"/>
          <w:sz w:val="22"/>
          <w:szCs w:val="22"/>
        </w:rPr>
        <w:t xml:space="preserve"> – (1) Bu Yönetmeliğin yürürlüğe girdiği tarih itibarıyla </w:t>
      </w:r>
      <w:proofErr w:type="gramStart"/>
      <w:r>
        <w:rPr>
          <w:rFonts w:ascii="Calibri" w:hAnsi="Calibri"/>
          <w:color w:val="1C283D"/>
          <w:sz w:val="22"/>
          <w:szCs w:val="22"/>
        </w:rPr>
        <w:t>21/10/1982</w:t>
      </w:r>
      <w:proofErr w:type="gramEnd"/>
      <w:r>
        <w:rPr>
          <w:rFonts w:ascii="Calibri" w:hAnsi="Calibri"/>
          <w:color w:val="1C283D"/>
          <w:sz w:val="22"/>
          <w:szCs w:val="22"/>
        </w:rPr>
        <w:t xml:space="preserve"> tarihli ve 17845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 Arasında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 Yatay Geçiş Esaslarına İlişkin Yönetmelik yürürlükten kaldırılmıştır.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Merkezi yerleştirme puanıyla yatay geçiş </w:t>
      </w:r>
    </w:p>
    <w:p w:rsidR="00CC27C7" w:rsidRDefault="00CC27C7" w:rsidP="00CC27C7">
      <w:pPr>
        <w:spacing w:line="240" w:lineRule="atLeast"/>
        <w:ind w:firstLine="567"/>
        <w:jc w:val="both"/>
        <w:rPr>
          <w:color w:val="1C283D"/>
        </w:rPr>
      </w:pPr>
      <w:r>
        <w:rPr>
          <w:rFonts w:ascii="Calibri" w:hAnsi="Calibri"/>
          <w:b/>
          <w:bCs/>
          <w:color w:val="1C283D"/>
          <w:sz w:val="22"/>
          <w:szCs w:val="22"/>
        </w:rPr>
        <w:t>EK MADDE 1 – (</w:t>
      </w:r>
      <w:proofErr w:type="gramStart"/>
      <w:r>
        <w:rPr>
          <w:rFonts w:ascii="Calibri" w:hAnsi="Calibri"/>
          <w:b/>
          <w:bCs/>
          <w:color w:val="1C283D"/>
          <w:sz w:val="22"/>
          <w:szCs w:val="22"/>
        </w:rPr>
        <w:t>Ek:RG</w:t>
      </w:r>
      <w:proofErr w:type="gramEnd"/>
      <w:r>
        <w:rPr>
          <w:rFonts w:ascii="Calibri" w:hAnsi="Calibri"/>
          <w:b/>
          <w:bCs/>
          <w:color w:val="1C283D"/>
          <w:sz w:val="22"/>
          <w:szCs w:val="22"/>
        </w:rPr>
        <w:t>-21/9/2013-28772) (Değişik:RG-2/5/2014-28988)</w:t>
      </w:r>
      <w:r>
        <w:rPr>
          <w:rFonts w:ascii="Calibri" w:hAnsi="Calibri"/>
          <w:color w:val="1C283D"/>
          <w:sz w:val="22"/>
          <w:szCs w:val="22"/>
        </w:rPr>
        <w:t xml:space="preserve"> </w:t>
      </w:r>
    </w:p>
    <w:p w:rsidR="00CC27C7" w:rsidRDefault="00CC27C7" w:rsidP="00CC27C7">
      <w:pPr>
        <w:spacing w:line="240" w:lineRule="atLeast"/>
        <w:ind w:firstLine="567"/>
        <w:jc w:val="both"/>
        <w:rPr>
          <w:color w:val="1C283D"/>
        </w:rPr>
      </w:pPr>
      <w:r>
        <w:rPr>
          <w:rFonts w:ascii="Calibri" w:hAnsi="Calibri"/>
          <w:color w:val="1C283D"/>
          <w:sz w:val="22"/>
          <w:szCs w:val="22"/>
        </w:rPr>
        <w:t xml:space="preserve">(1) Öğrencinin kayıt olduğu yıldaki merkezi yerleştirme puanı, geçmek istediği diploma programının taban puanına eşit veya yüksek olması durumunda, öğrenci, hazırlık sınıfı da </w:t>
      </w:r>
      <w:proofErr w:type="gramStart"/>
      <w:r>
        <w:rPr>
          <w:rFonts w:ascii="Calibri" w:hAnsi="Calibri"/>
          <w:color w:val="1C283D"/>
          <w:sz w:val="22"/>
          <w:szCs w:val="22"/>
        </w:rPr>
        <w:t>dahil</w:t>
      </w:r>
      <w:proofErr w:type="gramEnd"/>
      <w:r>
        <w:rPr>
          <w:rFonts w:ascii="Calibri" w:hAnsi="Calibri"/>
          <w:color w:val="1C283D"/>
          <w:sz w:val="22"/>
          <w:szCs w:val="22"/>
        </w:rPr>
        <w:t xml:space="preserve">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 </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Özel durumlarda yatay geçiş </w:t>
      </w:r>
    </w:p>
    <w:p w:rsidR="00CC27C7" w:rsidRDefault="00CC27C7" w:rsidP="00CC27C7">
      <w:pPr>
        <w:spacing w:line="240" w:lineRule="atLeast"/>
        <w:ind w:firstLine="567"/>
        <w:jc w:val="both"/>
        <w:rPr>
          <w:color w:val="1C283D"/>
        </w:rPr>
      </w:pPr>
      <w:r>
        <w:rPr>
          <w:rFonts w:ascii="Calibri" w:hAnsi="Calibri"/>
          <w:b/>
          <w:bCs/>
          <w:color w:val="1C283D"/>
          <w:sz w:val="22"/>
          <w:szCs w:val="22"/>
        </w:rPr>
        <w:t>EK MADDE 2 – (</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-21/9/2013-28772) </w:t>
      </w:r>
    </w:p>
    <w:p w:rsidR="00CC27C7" w:rsidRDefault="00CC27C7" w:rsidP="00CC27C7">
      <w:pPr>
        <w:spacing w:line="240" w:lineRule="atLeast"/>
        <w:ind w:firstLine="567"/>
        <w:jc w:val="both"/>
        <w:rPr>
          <w:color w:val="1C283D"/>
        </w:rPr>
      </w:pPr>
      <w:r>
        <w:rPr>
          <w:rFonts w:ascii="Calibri" w:hAnsi="Calibri"/>
          <w:color w:val="1C283D"/>
          <w:sz w:val="22"/>
          <w:szCs w:val="22"/>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CC27C7" w:rsidRDefault="00CC27C7" w:rsidP="00CC27C7">
      <w:pPr>
        <w:spacing w:line="240" w:lineRule="atLeast"/>
        <w:ind w:firstLine="567"/>
        <w:jc w:val="both"/>
        <w:rPr>
          <w:color w:val="1C283D"/>
        </w:rPr>
      </w:pPr>
      <w:r>
        <w:rPr>
          <w:rFonts w:ascii="Calibri" w:hAnsi="Calibri"/>
          <w:b/>
          <w:bCs/>
          <w:color w:val="1C283D"/>
          <w:sz w:val="22"/>
          <w:szCs w:val="22"/>
        </w:rPr>
        <w:t>Sorunların çözümü</w:t>
      </w:r>
    </w:p>
    <w:p w:rsidR="00CC27C7" w:rsidRDefault="00CC27C7" w:rsidP="00CC27C7">
      <w:pPr>
        <w:spacing w:line="240" w:lineRule="atLeast"/>
        <w:ind w:firstLine="567"/>
        <w:jc w:val="both"/>
        <w:rPr>
          <w:color w:val="1C283D"/>
        </w:rPr>
      </w:pPr>
      <w:r>
        <w:rPr>
          <w:rFonts w:ascii="Calibri" w:hAnsi="Calibri"/>
          <w:b/>
          <w:bCs/>
          <w:color w:val="1C283D"/>
          <w:sz w:val="22"/>
          <w:szCs w:val="22"/>
        </w:rPr>
        <w:t>EK MADDE 3 – (</w:t>
      </w:r>
      <w:proofErr w:type="gramStart"/>
      <w:r>
        <w:rPr>
          <w:rFonts w:ascii="Calibri" w:hAnsi="Calibri"/>
          <w:b/>
          <w:bCs/>
          <w:color w:val="1C283D"/>
          <w:sz w:val="22"/>
          <w:szCs w:val="22"/>
        </w:rPr>
        <w:t>Ek:RG</w:t>
      </w:r>
      <w:proofErr w:type="gramEnd"/>
      <w:r>
        <w:rPr>
          <w:rFonts w:ascii="Calibri" w:hAnsi="Calibri"/>
          <w:b/>
          <w:bCs/>
          <w:color w:val="1C283D"/>
          <w:sz w:val="22"/>
          <w:szCs w:val="22"/>
        </w:rPr>
        <w:t xml:space="preserve">-2/5/2014-28988) </w:t>
      </w:r>
    </w:p>
    <w:p w:rsidR="00CC27C7" w:rsidRDefault="00CC27C7" w:rsidP="00CC27C7">
      <w:pPr>
        <w:spacing w:line="240" w:lineRule="atLeast"/>
        <w:ind w:firstLine="567"/>
        <w:jc w:val="both"/>
        <w:rPr>
          <w:color w:val="1C283D"/>
        </w:rPr>
      </w:pPr>
      <w:r>
        <w:rPr>
          <w:rFonts w:ascii="Calibri" w:hAnsi="Calibri"/>
          <w:color w:val="1C283D"/>
          <w:sz w:val="22"/>
          <w:szCs w:val="22"/>
        </w:rPr>
        <w:t>(1) Bu Yönetmelik hükümlerinin uygulanmasında ortaya çıkacak sorunların giderilmesinde Yükseköğretim Yürütme Kurulu yetkilidir.</w:t>
      </w:r>
    </w:p>
    <w:p w:rsidR="00CC27C7" w:rsidRDefault="00CC27C7" w:rsidP="00CC27C7">
      <w:pPr>
        <w:spacing w:line="240" w:lineRule="atLeast"/>
        <w:ind w:firstLine="567"/>
        <w:jc w:val="both"/>
        <w:rPr>
          <w:color w:val="1C283D"/>
        </w:rPr>
      </w:pPr>
      <w:r>
        <w:rPr>
          <w:rFonts w:ascii="Calibri" w:hAnsi="Calibri"/>
          <w:b/>
          <w:bCs/>
          <w:color w:val="1C283D"/>
          <w:sz w:val="22"/>
          <w:szCs w:val="22"/>
        </w:rPr>
        <w:t xml:space="preserve">Mevcut çift </w:t>
      </w:r>
      <w:proofErr w:type="spellStart"/>
      <w:r>
        <w:rPr>
          <w:rFonts w:ascii="Calibri" w:hAnsi="Calibri"/>
          <w:b/>
          <w:bCs/>
          <w:color w:val="1C283D"/>
          <w:sz w:val="22"/>
          <w:szCs w:val="22"/>
        </w:rPr>
        <w:t>anadal</w:t>
      </w:r>
      <w:proofErr w:type="spellEnd"/>
      <w:r>
        <w:rPr>
          <w:rFonts w:ascii="Calibri" w:hAnsi="Calibri"/>
          <w:b/>
          <w:bCs/>
          <w:color w:val="1C283D"/>
          <w:sz w:val="22"/>
          <w:szCs w:val="22"/>
        </w:rPr>
        <w:t xml:space="preserve"> ve yan dal programları</w:t>
      </w:r>
    </w:p>
    <w:p w:rsidR="00CC27C7" w:rsidRDefault="00CC27C7" w:rsidP="00CC27C7">
      <w:pPr>
        <w:spacing w:line="240" w:lineRule="atLeast"/>
        <w:ind w:firstLine="567"/>
        <w:jc w:val="both"/>
        <w:rPr>
          <w:color w:val="1C283D"/>
        </w:rPr>
      </w:pPr>
      <w:r>
        <w:rPr>
          <w:rFonts w:ascii="Calibri" w:hAnsi="Calibri"/>
          <w:b/>
          <w:bCs/>
          <w:color w:val="1C283D"/>
          <w:sz w:val="22"/>
          <w:szCs w:val="22"/>
        </w:rPr>
        <w:t>GEÇİCİ MADDE 1</w:t>
      </w:r>
      <w:r>
        <w:rPr>
          <w:rFonts w:ascii="Calibri" w:hAnsi="Calibri"/>
          <w:color w:val="1C283D"/>
          <w:sz w:val="22"/>
          <w:szCs w:val="22"/>
        </w:rPr>
        <w:t xml:space="preserve"> – (1) Bu Yönetmeliğinin yürürlüğe girdiği tarihten önce uygulanmaya başlanan çift </w:t>
      </w:r>
      <w:proofErr w:type="spellStart"/>
      <w:r>
        <w:rPr>
          <w:rFonts w:ascii="Calibri" w:hAnsi="Calibri"/>
          <w:color w:val="1C283D"/>
          <w:sz w:val="22"/>
          <w:szCs w:val="22"/>
        </w:rPr>
        <w:t>anadal</w:t>
      </w:r>
      <w:proofErr w:type="spellEnd"/>
      <w:r>
        <w:rPr>
          <w:rFonts w:ascii="Calibri" w:hAnsi="Calibri"/>
          <w:color w:val="1C283D"/>
          <w:sz w:val="22"/>
          <w:szCs w:val="22"/>
        </w:rPr>
        <w:t xml:space="preserve"> ve yan dal programlarında, ilgili yükseköğretim kurumunun programın açılışında belirlediği esaslar uygulanır.</w:t>
      </w:r>
    </w:p>
    <w:p w:rsidR="00CC27C7" w:rsidRDefault="00CC27C7" w:rsidP="00CC27C7">
      <w:pPr>
        <w:spacing w:line="240" w:lineRule="atLeast"/>
        <w:ind w:firstLine="567"/>
        <w:jc w:val="both"/>
        <w:rPr>
          <w:color w:val="1C283D"/>
        </w:rPr>
      </w:pPr>
      <w:r>
        <w:rPr>
          <w:rFonts w:ascii="Calibri" w:hAnsi="Calibri"/>
          <w:b/>
          <w:bCs/>
          <w:color w:val="1C283D"/>
          <w:sz w:val="22"/>
          <w:szCs w:val="22"/>
        </w:rPr>
        <w:t>Yürürlük</w:t>
      </w:r>
    </w:p>
    <w:p w:rsidR="00CC27C7" w:rsidRDefault="00CC27C7" w:rsidP="00CC27C7">
      <w:pPr>
        <w:spacing w:line="240" w:lineRule="atLeast"/>
        <w:ind w:firstLine="567"/>
        <w:jc w:val="both"/>
        <w:rPr>
          <w:color w:val="1C283D"/>
        </w:rPr>
      </w:pPr>
      <w:r>
        <w:rPr>
          <w:rFonts w:ascii="Calibri" w:hAnsi="Calibri"/>
          <w:b/>
          <w:bCs/>
          <w:color w:val="1C283D"/>
          <w:sz w:val="22"/>
          <w:szCs w:val="22"/>
        </w:rPr>
        <w:t>MADDE 27</w:t>
      </w:r>
      <w:r>
        <w:rPr>
          <w:rFonts w:ascii="Calibri" w:hAnsi="Calibri"/>
          <w:color w:val="1C283D"/>
          <w:sz w:val="22"/>
          <w:szCs w:val="22"/>
        </w:rPr>
        <w:t xml:space="preserve"> – (1) Bu Yönetmeliğin kurumlar arası yatay geçişe ilişkin hükümleri </w:t>
      </w:r>
      <w:proofErr w:type="gramStart"/>
      <w:r>
        <w:rPr>
          <w:rFonts w:ascii="Calibri" w:hAnsi="Calibri"/>
          <w:color w:val="1C283D"/>
          <w:sz w:val="22"/>
          <w:szCs w:val="22"/>
        </w:rPr>
        <w:t>1/6/2010</w:t>
      </w:r>
      <w:proofErr w:type="gramEnd"/>
      <w:r>
        <w:rPr>
          <w:rFonts w:ascii="Calibri" w:hAnsi="Calibri"/>
          <w:color w:val="1C283D"/>
          <w:sz w:val="22"/>
          <w:szCs w:val="22"/>
        </w:rPr>
        <w:t xml:space="preserve"> tarihinde, diğer hükümleri yayımı tarihinde yürürlüğe girer.</w:t>
      </w:r>
    </w:p>
    <w:p w:rsidR="00CC27C7" w:rsidRDefault="00CC27C7" w:rsidP="00CC27C7">
      <w:pPr>
        <w:spacing w:line="240" w:lineRule="atLeast"/>
        <w:ind w:firstLine="567"/>
        <w:jc w:val="both"/>
        <w:rPr>
          <w:color w:val="1C283D"/>
        </w:rPr>
      </w:pPr>
      <w:r>
        <w:rPr>
          <w:rFonts w:ascii="Calibri" w:hAnsi="Calibri"/>
          <w:b/>
          <w:bCs/>
          <w:color w:val="1C283D"/>
          <w:sz w:val="22"/>
          <w:szCs w:val="22"/>
        </w:rPr>
        <w:t>Yürütme</w:t>
      </w:r>
    </w:p>
    <w:p w:rsidR="00CC27C7" w:rsidRDefault="00CC27C7" w:rsidP="00CC27C7">
      <w:pPr>
        <w:spacing w:line="240" w:lineRule="atLeast"/>
        <w:ind w:firstLine="567"/>
        <w:jc w:val="both"/>
        <w:rPr>
          <w:color w:val="1C283D"/>
        </w:rPr>
      </w:pPr>
      <w:r>
        <w:rPr>
          <w:rFonts w:ascii="Calibri" w:hAnsi="Calibri"/>
          <w:b/>
          <w:bCs/>
          <w:color w:val="1C283D"/>
          <w:sz w:val="22"/>
          <w:szCs w:val="22"/>
        </w:rPr>
        <w:t>MADDE 28</w:t>
      </w:r>
      <w:r>
        <w:rPr>
          <w:rFonts w:ascii="Calibri" w:hAnsi="Calibri"/>
          <w:color w:val="1C283D"/>
          <w:sz w:val="22"/>
          <w:szCs w:val="22"/>
        </w:rPr>
        <w:t xml:space="preserve"> – (1) Bu Yönetmelik hükümlerini Yükseköğretim Kurulu Başkanı yürütür.</w:t>
      </w:r>
    </w:p>
    <w:p w:rsidR="00CC27C7" w:rsidRDefault="00CC27C7" w:rsidP="00CC27C7">
      <w:pPr>
        <w:spacing w:line="240" w:lineRule="atLeast"/>
        <w:jc w:val="both"/>
        <w:rPr>
          <w:color w:val="1C283D"/>
        </w:rPr>
      </w:pPr>
      <w:r>
        <w:rPr>
          <w:rFonts w:ascii="Calibri" w:hAnsi="Calibri"/>
          <w:color w:val="1C283D"/>
          <w:sz w:val="22"/>
          <w:szCs w:val="22"/>
        </w:rPr>
        <w:t> </w:t>
      </w:r>
    </w:p>
    <w:p w:rsidR="00CC27C7" w:rsidRDefault="00CC27C7" w:rsidP="00CC27C7">
      <w:pPr>
        <w:spacing w:line="240" w:lineRule="atLeast"/>
        <w:jc w:val="both"/>
        <w:rPr>
          <w:color w:val="1C283D"/>
        </w:rPr>
      </w:pPr>
      <w:r>
        <w:rPr>
          <w:rFonts w:ascii="Calibri" w:hAnsi="Calibri"/>
          <w:color w:val="1C283D"/>
          <w:sz w:val="22"/>
          <w:szCs w:val="22"/>
        </w:rPr>
        <w:t> </w:t>
      </w:r>
    </w:p>
    <w:tbl>
      <w:tblPr>
        <w:tblW w:w="0" w:type="auto"/>
        <w:jc w:val="center"/>
        <w:tblInd w:w="-202" w:type="dxa"/>
        <w:tblCellMar>
          <w:left w:w="0" w:type="dxa"/>
          <w:right w:w="0" w:type="dxa"/>
        </w:tblCellMar>
        <w:tblLook w:val="04A0" w:firstRow="1" w:lastRow="0" w:firstColumn="1" w:lastColumn="0" w:noHBand="0" w:noVBand="1"/>
      </w:tblPr>
      <w:tblGrid>
        <w:gridCol w:w="670"/>
        <w:gridCol w:w="3600"/>
        <w:gridCol w:w="3600"/>
      </w:tblGrid>
      <w:tr w:rsidR="00CC27C7" w:rsidTr="00CC27C7">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Yönetmeliğin Yayımlandığı Resmî Gazete’nin</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Sayısı</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proofErr w:type="gramStart"/>
            <w:r>
              <w:rPr>
                <w:rFonts w:ascii="Calibri" w:hAnsi="Calibri"/>
                <w:color w:val="1C283D"/>
                <w:sz w:val="22"/>
                <w:szCs w:val="22"/>
              </w:rPr>
              <w:t>24/4/2010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27561</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Yönetmelikte Değişiklik Yapan Yönetmeliklerin Yayımlandığı Resmî Gazetelerin</w:t>
            </w:r>
          </w:p>
        </w:tc>
      </w:tr>
      <w:tr w:rsidR="00CC27C7" w:rsidTr="00CC27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27C7" w:rsidRDefault="00CC27C7">
            <w:pPr>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b/>
                <w:bCs/>
                <w:color w:val="1C283D"/>
                <w:sz w:val="22"/>
                <w:szCs w:val="22"/>
              </w:rPr>
              <w:t>Sayısı</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proofErr w:type="gramStart"/>
            <w:r>
              <w:rPr>
                <w:rFonts w:ascii="Calibri" w:hAnsi="Calibri"/>
                <w:color w:val="1C283D"/>
                <w:sz w:val="22"/>
                <w:szCs w:val="22"/>
              </w:rPr>
              <w:t>16/8/2011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28027</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proofErr w:type="gramStart"/>
            <w:r>
              <w:rPr>
                <w:rFonts w:ascii="Calibri" w:hAnsi="Calibri"/>
                <w:color w:val="1C283D"/>
                <w:sz w:val="22"/>
                <w:szCs w:val="22"/>
              </w:rPr>
              <w:t>21/9/2013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28772</w:t>
            </w:r>
          </w:p>
        </w:tc>
      </w:tr>
      <w:tr w:rsidR="00CC27C7" w:rsidTr="00CC27C7">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7C7" w:rsidRDefault="00CC27C7">
            <w:pPr>
              <w:spacing w:line="240" w:lineRule="atLeast"/>
              <w:jc w:val="both"/>
              <w:rPr>
                <w:color w:val="1C283D"/>
              </w:rPr>
            </w:pPr>
            <w:r>
              <w:rPr>
                <w:rFonts w:ascii="Calibri" w:hAnsi="Calibri"/>
                <w:color w:val="1C283D"/>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proofErr w:type="gramStart"/>
            <w:r>
              <w:rPr>
                <w:rFonts w:ascii="Calibri" w:hAnsi="Calibri"/>
                <w:color w:val="1C283D"/>
                <w:sz w:val="22"/>
                <w:szCs w:val="22"/>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27C7" w:rsidRDefault="00CC27C7">
            <w:pPr>
              <w:spacing w:line="240" w:lineRule="atLeast"/>
              <w:jc w:val="center"/>
              <w:rPr>
                <w:color w:val="1C283D"/>
              </w:rPr>
            </w:pPr>
            <w:r>
              <w:rPr>
                <w:rFonts w:ascii="Calibri" w:hAnsi="Calibri"/>
                <w:color w:val="1C283D"/>
                <w:sz w:val="22"/>
                <w:szCs w:val="22"/>
              </w:rPr>
              <w:t>28988</w:t>
            </w:r>
          </w:p>
        </w:tc>
      </w:tr>
    </w:tbl>
    <w:p w:rsidR="0059702D" w:rsidRDefault="0059702D"/>
    <w:sectPr w:rsidR="0059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C7"/>
    <w:rsid w:val="0059702D"/>
    <w:rsid w:val="00CC2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9623">
      <w:bodyDiv w:val="1"/>
      <w:marLeft w:val="0"/>
      <w:marRight w:val="0"/>
      <w:marTop w:val="0"/>
      <w:marBottom w:val="0"/>
      <w:divBdr>
        <w:top w:val="none" w:sz="0" w:space="0" w:color="auto"/>
        <w:left w:val="none" w:sz="0" w:space="0" w:color="auto"/>
        <w:bottom w:val="none" w:sz="0" w:space="0" w:color="auto"/>
        <w:right w:val="none" w:sz="0" w:space="0" w:color="auto"/>
      </w:divBdr>
      <w:divsChild>
        <w:div w:id="725180641">
          <w:marLeft w:val="0"/>
          <w:marRight w:val="0"/>
          <w:marTop w:val="100"/>
          <w:marBottom w:val="100"/>
          <w:divBdr>
            <w:top w:val="none" w:sz="0" w:space="0" w:color="auto"/>
            <w:left w:val="none" w:sz="0" w:space="0" w:color="auto"/>
            <w:bottom w:val="none" w:sz="0" w:space="0" w:color="auto"/>
            <w:right w:val="none" w:sz="0" w:space="0" w:color="auto"/>
          </w:divBdr>
          <w:divsChild>
            <w:div w:id="351106407">
              <w:marLeft w:val="0"/>
              <w:marRight w:val="0"/>
              <w:marTop w:val="0"/>
              <w:marBottom w:val="0"/>
              <w:divBdr>
                <w:top w:val="none" w:sz="0" w:space="0" w:color="auto"/>
                <w:left w:val="none" w:sz="0" w:space="0" w:color="auto"/>
                <w:bottom w:val="none" w:sz="0" w:space="0" w:color="auto"/>
                <w:right w:val="none" w:sz="0" w:space="0" w:color="auto"/>
              </w:divBdr>
              <w:divsChild>
                <w:div w:id="1120148579">
                  <w:marLeft w:val="0"/>
                  <w:marRight w:val="0"/>
                  <w:marTop w:val="0"/>
                  <w:marBottom w:val="0"/>
                  <w:divBdr>
                    <w:top w:val="none" w:sz="0" w:space="0" w:color="auto"/>
                    <w:left w:val="none" w:sz="0" w:space="0" w:color="auto"/>
                    <w:bottom w:val="none" w:sz="0" w:space="0" w:color="auto"/>
                    <w:right w:val="none" w:sz="0" w:space="0" w:color="auto"/>
                  </w:divBdr>
                  <w:divsChild>
                    <w:div w:id="11838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5650</Words>
  <Characters>32209</Characters>
  <Application>Microsoft Office Word</Application>
  <DocSecurity>0</DocSecurity>
  <Lines>268</Lines>
  <Paragraphs>75</Paragraphs>
  <ScaleCrop>false</ScaleCrop>
  <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2015-02-08T13:50:00Z</dcterms:created>
  <dcterms:modified xsi:type="dcterms:W3CDTF">2015-02-08T13:51:00Z</dcterms:modified>
</cp:coreProperties>
</file>