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A6" w:rsidRDefault="00AC46A6" w:rsidP="00AC46A6">
      <w:pPr>
        <w:spacing w:after="240" w:line="300" w:lineRule="atLeast"/>
        <w:rPr>
          <w:rFonts w:ascii="Arial" w:hAnsi="Arial" w:cs="Arial"/>
          <w:color w:val="1C283D"/>
          <w:sz w:val="15"/>
          <w:szCs w:val="15"/>
        </w:rPr>
      </w:pPr>
      <w:r>
        <w:rPr>
          <w:rFonts w:ascii="Arial" w:hAnsi="Arial" w:cs="Arial"/>
          <w:color w:val="1C283D"/>
          <w:sz w:val="15"/>
          <w:szCs w:val="15"/>
        </w:rPr>
        <w:t>Resmi Gazete Tarihi: 18.03.1989 Resmi Gazete Sayısı: 20112</w:t>
      </w:r>
    </w:p>
    <w:p w:rsidR="00AC46A6" w:rsidRDefault="00AC46A6" w:rsidP="00AC46A6">
      <w:pPr>
        <w:spacing w:line="240" w:lineRule="atLeast"/>
        <w:ind w:firstLine="709"/>
        <w:jc w:val="center"/>
        <w:rPr>
          <w:color w:val="1C283D"/>
        </w:rPr>
      </w:pPr>
      <w:r>
        <w:rPr>
          <w:color w:val="1C283D"/>
          <w:sz w:val="20"/>
          <w:szCs w:val="20"/>
        </w:rPr>
        <w:t> </w:t>
      </w:r>
    </w:p>
    <w:p w:rsidR="00AC46A6" w:rsidRDefault="00AC46A6" w:rsidP="00AC46A6">
      <w:pPr>
        <w:spacing w:line="240" w:lineRule="atLeast"/>
        <w:ind w:firstLine="709"/>
        <w:jc w:val="center"/>
        <w:rPr>
          <w:color w:val="1C283D"/>
        </w:rPr>
      </w:pPr>
      <w:r>
        <w:rPr>
          <w:color w:val="1C283D"/>
          <w:sz w:val="20"/>
          <w:szCs w:val="20"/>
        </w:rPr>
        <w:t> </w:t>
      </w:r>
    </w:p>
    <w:p w:rsidR="00AC46A6" w:rsidRDefault="00AC46A6" w:rsidP="00AC46A6">
      <w:pPr>
        <w:spacing w:line="240" w:lineRule="atLeast"/>
        <w:ind w:firstLine="709"/>
        <w:jc w:val="center"/>
        <w:rPr>
          <w:color w:val="1C283D"/>
        </w:rPr>
      </w:pPr>
      <w:bookmarkStart w:id="0" w:name="_GoBack"/>
      <w:r>
        <w:rPr>
          <w:b/>
          <w:bCs/>
          <w:color w:val="1C283D"/>
          <w:sz w:val="22"/>
          <w:szCs w:val="22"/>
        </w:rPr>
        <w:t>LİSANS ÖĞRENİMLERİNİ TAMAMLAMAYAN VEYA TAMAMLAYAMAYANLARIN ÖN LİSANS DİPLOMASI ALMALARI VEYA MESLEK YÜKSEKOKULLARINA İNTİBAKLARI HAKKINDA YÖNETMELİK</w:t>
      </w:r>
    </w:p>
    <w:bookmarkEnd w:id="0"/>
    <w:p w:rsidR="00AC46A6" w:rsidRDefault="00AC46A6" w:rsidP="00AC46A6">
      <w:pPr>
        <w:spacing w:line="240" w:lineRule="atLeast"/>
        <w:ind w:firstLine="709"/>
        <w:jc w:val="center"/>
        <w:rPr>
          <w:color w:val="1C283D"/>
        </w:rPr>
      </w:pPr>
      <w:r>
        <w:rPr>
          <w:b/>
          <w:bCs/>
          <w:color w:val="1C283D"/>
          <w:sz w:val="22"/>
          <w:szCs w:val="22"/>
        </w:rPr>
        <w:t> </w:t>
      </w:r>
    </w:p>
    <w:p w:rsidR="00AC46A6" w:rsidRDefault="00AC46A6" w:rsidP="00AC46A6">
      <w:pPr>
        <w:spacing w:line="240" w:lineRule="atLeast"/>
        <w:ind w:firstLine="709"/>
        <w:jc w:val="center"/>
        <w:rPr>
          <w:color w:val="1C283D"/>
        </w:rPr>
      </w:pPr>
      <w:r>
        <w:rPr>
          <w:b/>
          <w:bCs/>
          <w:color w:val="1C283D"/>
          <w:sz w:val="22"/>
          <w:szCs w:val="22"/>
        </w:rPr>
        <w:t> </w:t>
      </w:r>
    </w:p>
    <w:p w:rsidR="00AC46A6" w:rsidRDefault="00AC46A6" w:rsidP="00AC46A6">
      <w:pPr>
        <w:spacing w:line="240" w:lineRule="atLeast"/>
        <w:ind w:firstLine="709"/>
        <w:jc w:val="both"/>
        <w:rPr>
          <w:color w:val="1C283D"/>
        </w:rPr>
      </w:pPr>
      <w:r>
        <w:rPr>
          <w:b/>
          <w:bCs/>
          <w:color w:val="1C283D"/>
          <w:sz w:val="20"/>
          <w:szCs w:val="20"/>
        </w:rPr>
        <w:t>Amaç ve Kapsam</w:t>
      </w:r>
    </w:p>
    <w:p w:rsidR="00AC46A6" w:rsidRDefault="00AC46A6" w:rsidP="00AC46A6">
      <w:pPr>
        <w:spacing w:line="240" w:lineRule="atLeast"/>
        <w:ind w:firstLine="709"/>
        <w:jc w:val="both"/>
        <w:rPr>
          <w:color w:val="1C283D"/>
        </w:rPr>
      </w:pPr>
      <w:r>
        <w:rPr>
          <w:b/>
          <w:bCs/>
          <w:color w:val="1C283D"/>
          <w:sz w:val="20"/>
          <w:szCs w:val="20"/>
        </w:rPr>
        <w:t>Madde 1-</w:t>
      </w:r>
      <w:r>
        <w:rPr>
          <w:color w:val="1C283D"/>
          <w:sz w:val="20"/>
          <w:szCs w:val="20"/>
        </w:rPr>
        <w:t xml:space="preserve"> Bu yönetmeliğin amacı, bir lisans programını tamamlamayan veya tamamlayamayanların </w:t>
      </w:r>
      <w:proofErr w:type="spellStart"/>
      <w:r>
        <w:rPr>
          <w:color w:val="1C283D"/>
          <w:sz w:val="20"/>
          <w:szCs w:val="20"/>
        </w:rPr>
        <w:t>önlisans</w:t>
      </w:r>
      <w:proofErr w:type="spellEnd"/>
      <w:r>
        <w:rPr>
          <w:color w:val="1C283D"/>
          <w:sz w:val="20"/>
          <w:szCs w:val="20"/>
        </w:rPr>
        <w:t xml:space="preserve"> diploması almaları veya bu gibilerin meslek yüksekokullarına intibakları ile ilgili esasları belirlemektir.</w:t>
      </w:r>
    </w:p>
    <w:p w:rsidR="00AC46A6" w:rsidRDefault="00AC46A6" w:rsidP="00AC46A6">
      <w:pPr>
        <w:spacing w:line="240" w:lineRule="atLeast"/>
        <w:ind w:firstLine="709"/>
        <w:jc w:val="both"/>
        <w:rPr>
          <w:color w:val="1C283D"/>
        </w:rPr>
      </w:pPr>
      <w:r>
        <w:rPr>
          <w:color w:val="1C283D"/>
          <w:sz w:val="20"/>
          <w:szCs w:val="20"/>
        </w:rPr>
        <w:t> </w:t>
      </w:r>
    </w:p>
    <w:p w:rsidR="00AC46A6" w:rsidRDefault="00AC46A6" w:rsidP="00AC46A6">
      <w:pPr>
        <w:spacing w:line="240" w:lineRule="atLeast"/>
        <w:ind w:firstLine="709"/>
        <w:jc w:val="both"/>
        <w:rPr>
          <w:color w:val="1C283D"/>
        </w:rPr>
      </w:pPr>
      <w:r>
        <w:rPr>
          <w:b/>
          <w:bCs/>
          <w:color w:val="1C283D"/>
          <w:sz w:val="20"/>
          <w:szCs w:val="20"/>
        </w:rPr>
        <w:t>Dayanak</w:t>
      </w:r>
    </w:p>
    <w:p w:rsidR="00AC46A6" w:rsidRDefault="00AC46A6" w:rsidP="00AC46A6">
      <w:pPr>
        <w:spacing w:line="240" w:lineRule="atLeast"/>
        <w:ind w:firstLine="709"/>
        <w:jc w:val="both"/>
        <w:rPr>
          <w:color w:val="1C283D"/>
        </w:rPr>
      </w:pPr>
      <w:r>
        <w:rPr>
          <w:b/>
          <w:bCs/>
          <w:color w:val="1C283D"/>
          <w:sz w:val="20"/>
          <w:szCs w:val="20"/>
        </w:rPr>
        <w:t>Madde 2-</w:t>
      </w:r>
      <w:r>
        <w:rPr>
          <w:color w:val="1C283D"/>
          <w:sz w:val="20"/>
          <w:szCs w:val="20"/>
        </w:rPr>
        <w:t xml:space="preserve"> Bu yönetmelik 2547 sayılı Yükseköğretim Kanununun 44. maddesini değiştiren 3511 sayılı kanunun 1. maddesine göre hazırlanmıştır.</w:t>
      </w:r>
    </w:p>
    <w:p w:rsidR="00AC46A6" w:rsidRDefault="00AC46A6" w:rsidP="00AC46A6">
      <w:pPr>
        <w:spacing w:line="240" w:lineRule="atLeast"/>
        <w:ind w:firstLine="709"/>
        <w:jc w:val="both"/>
        <w:rPr>
          <w:color w:val="1C283D"/>
        </w:rPr>
      </w:pPr>
      <w:r>
        <w:rPr>
          <w:color w:val="1C283D"/>
          <w:sz w:val="20"/>
          <w:szCs w:val="20"/>
        </w:rPr>
        <w:t> </w:t>
      </w:r>
    </w:p>
    <w:p w:rsidR="00AC46A6" w:rsidRDefault="00AC46A6" w:rsidP="00AC46A6">
      <w:pPr>
        <w:spacing w:line="240" w:lineRule="atLeast"/>
        <w:ind w:firstLine="709"/>
        <w:jc w:val="both"/>
        <w:rPr>
          <w:color w:val="1C283D"/>
        </w:rPr>
      </w:pPr>
      <w:proofErr w:type="spellStart"/>
      <w:r>
        <w:rPr>
          <w:b/>
          <w:bCs/>
          <w:color w:val="1C283D"/>
          <w:sz w:val="20"/>
          <w:szCs w:val="20"/>
        </w:rPr>
        <w:t>Önlisans</w:t>
      </w:r>
      <w:proofErr w:type="spellEnd"/>
      <w:r>
        <w:rPr>
          <w:b/>
          <w:bCs/>
          <w:color w:val="1C283D"/>
          <w:sz w:val="20"/>
          <w:szCs w:val="20"/>
        </w:rPr>
        <w:t xml:space="preserve"> Diploması Alma İlkeleri</w:t>
      </w:r>
    </w:p>
    <w:p w:rsidR="00AC46A6" w:rsidRDefault="00AC46A6" w:rsidP="00AC46A6">
      <w:pPr>
        <w:spacing w:line="240" w:lineRule="atLeast"/>
        <w:ind w:firstLine="709"/>
        <w:jc w:val="both"/>
        <w:rPr>
          <w:color w:val="1C283D"/>
        </w:rPr>
      </w:pPr>
      <w:r>
        <w:rPr>
          <w:b/>
          <w:bCs/>
          <w:color w:val="1C283D"/>
          <w:sz w:val="20"/>
          <w:szCs w:val="20"/>
        </w:rPr>
        <w:t>Madde 3-</w:t>
      </w:r>
      <w:r>
        <w:rPr>
          <w:color w:val="1C283D"/>
          <w:sz w:val="20"/>
          <w:szCs w:val="20"/>
        </w:rPr>
        <w:t xml:space="preserve"> Türk Ceza Kanununun ikinci kitabının birinci babında yer alan, Devletin şahsiyetine karşı işlediği cürümler sebebiyle hüküm giyenler ile disiplin cezası alarak yükseköğretim kurumlarından uzaklaştırılanlar hariç olmak üzere, 2547 sayılı Kanun hükümleri uyarınca bir lisans programının en az ilk dört </w:t>
      </w:r>
      <w:proofErr w:type="gramStart"/>
      <w:r>
        <w:rPr>
          <w:color w:val="1C283D"/>
          <w:sz w:val="20"/>
          <w:szCs w:val="20"/>
        </w:rPr>
        <w:t>yarı yılının</w:t>
      </w:r>
      <w:proofErr w:type="gramEnd"/>
      <w:r>
        <w:rPr>
          <w:color w:val="1C283D"/>
          <w:sz w:val="20"/>
          <w:szCs w:val="20"/>
        </w:rPr>
        <w:t xml:space="preserve"> bütün derslerinden başarılı olanlara </w:t>
      </w:r>
      <w:proofErr w:type="spellStart"/>
      <w:r>
        <w:rPr>
          <w:color w:val="1C283D"/>
          <w:sz w:val="20"/>
          <w:szCs w:val="20"/>
        </w:rPr>
        <w:t>önlisans</w:t>
      </w:r>
      <w:proofErr w:type="spellEnd"/>
      <w:r>
        <w:rPr>
          <w:color w:val="1C283D"/>
          <w:sz w:val="20"/>
          <w:szCs w:val="20"/>
        </w:rPr>
        <w:t xml:space="preserve"> diploması verilir. </w:t>
      </w:r>
      <w:proofErr w:type="spellStart"/>
      <w:r>
        <w:rPr>
          <w:color w:val="1C283D"/>
          <w:sz w:val="20"/>
          <w:szCs w:val="20"/>
        </w:rPr>
        <w:t>Önlisans</w:t>
      </w:r>
      <w:proofErr w:type="spellEnd"/>
      <w:r>
        <w:rPr>
          <w:color w:val="1C283D"/>
          <w:sz w:val="20"/>
          <w:szCs w:val="20"/>
        </w:rPr>
        <w:t xml:space="preserve"> diploması almak için yapılacak başvurular herhangi bir süre ile sınırlı değildir.</w:t>
      </w:r>
    </w:p>
    <w:p w:rsidR="00AC46A6" w:rsidRDefault="00AC46A6" w:rsidP="00AC46A6">
      <w:pPr>
        <w:spacing w:line="240" w:lineRule="atLeast"/>
        <w:ind w:firstLine="709"/>
        <w:jc w:val="both"/>
        <w:rPr>
          <w:color w:val="1C283D"/>
        </w:rPr>
      </w:pPr>
      <w:r>
        <w:rPr>
          <w:color w:val="1C283D"/>
          <w:sz w:val="20"/>
          <w:szCs w:val="20"/>
        </w:rPr>
        <w:t> </w:t>
      </w:r>
    </w:p>
    <w:p w:rsidR="00AC46A6" w:rsidRDefault="00AC46A6" w:rsidP="00AC46A6">
      <w:pPr>
        <w:spacing w:line="240" w:lineRule="atLeast"/>
        <w:ind w:firstLine="709"/>
        <w:jc w:val="both"/>
        <w:rPr>
          <w:color w:val="1C283D"/>
        </w:rPr>
      </w:pPr>
      <w:r>
        <w:rPr>
          <w:b/>
          <w:bCs/>
          <w:color w:val="1C283D"/>
          <w:sz w:val="20"/>
          <w:szCs w:val="20"/>
        </w:rPr>
        <w:t>Meslek Yüksekokullarına İntibak Esasları</w:t>
      </w:r>
    </w:p>
    <w:p w:rsidR="00AC46A6" w:rsidRDefault="00AC46A6" w:rsidP="00AC46A6">
      <w:pPr>
        <w:spacing w:line="240" w:lineRule="atLeast"/>
        <w:ind w:firstLine="709"/>
        <w:jc w:val="both"/>
        <w:rPr>
          <w:color w:val="1C283D"/>
        </w:rPr>
      </w:pPr>
      <w:r>
        <w:rPr>
          <w:b/>
          <w:bCs/>
          <w:color w:val="1C283D"/>
          <w:sz w:val="20"/>
          <w:szCs w:val="20"/>
        </w:rPr>
        <w:t xml:space="preserve">Madde 4- (Değişik birinci </w:t>
      </w:r>
      <w:proofErr w:type="gramStart"/>
      <w:r>
        <w:rPr>
          <w:b/>
          <w:bCs/>
          <w:color w:val="1C283D"/>
          <w:sz w:val="20"/>
          <w:szCs w:val="20"/>
        </w:rPr>
        <w:t>fıkra:R</w:t>
      </w:r>
      <w:proofErr w:type="gramEnd"/>
      <w:r>
        <w:rPr>
          <w:b/>
          <w:bCs/>
          <w:color w:val="1C283D"/>
          <w:sz w:val="20"/>
          <w:szCs w:val="20"/>
        </w:rPr>
        <w:t>.G.-2/5/2008-26864)</w:t>
      </w:r>
      <w:r>
        <w:rPr>
          <w:color w:val="1C283D"/>
          <w:sz w:val="20"/>
          <w:szCs w:val="20"/>
        </w:rPr>
        <w:t xml:space="preserve"> Bir lisans programının en az dört yarıyılının bütün derslerinden veya o lisans programının en az yüzde altmışından başarılı olup da lisans programını tamamlamayan veya tamamlayamayanlar, kurumları ile ilişkilerinin kesildiği tarihten itibaren 6 ay içinde müracaat etmek şartıyla yüksekokullarının benzer ve uygun programlarına intibak ettirilebilirler.</w:t>
      </w:r>
    </w:p>
    <w:p w:rsidR="00AC46A6" w:rsidRDefault="00AC46A6" w:rsidP="00AC46A6">
      <w:pPr>
        <w:spacing w:line="240" w:lineRule="atLeast"/>
        <w:ind w:firstLine="709"/>
        <w:jc w:val="both"/>
        <w:rPr>
          <w:color w:val="1C283D"/>
        </w:rPr>
      </w:pPr>
      <w:r>
        <w:rPr>
          <w:color w:val="1C283D"/>
          <w:sz w:val="20"/>
          <w:szCs w:val="20"/>
        </w:rPr>
        <w:t> </w:t>
      </w:r>
    </w:p>
    <w:p w:rsidR="00AC46A6" w:rsidRDefault="00AC46A6" w:rsidP="00AC46A6">
      <w:pPr>
        <w:spacing w:line="240" w:lineRule="atLeast"/>
        <w:ind w:firstLine="709"/>
        <w:jc w:val="both"/>
        <w:rPr>
          <w:color w:val="1C283D"/>
        </w:rPr>
      </w:pPr>
      <w:r>
        <w:rPr>
          <w:color w:val="1C283D"/>
          <w:sz w:val="20"/>
          <w:szCs w:val="20"/>
        </w:rPr>
        <w:t>Ancak, bu gibilerin, Türk Ceza Kanununun ikinci kitabının birinci babında yer alan, Devletin şahsiyetine karşı işlenen cürümler sebebiyle hüküm giymemiş ve disiplin cezası alarak yükseköğretim kurumlarından uzaklaştırılmamış olmaları şarttır.</w:t>
      </w:r>
    </w:p>
    <w:p w:rsidR="00AC46A6" w:rsidRDefault="00AC46A6" w:rsidP="00AC46A6">
      <w:pPr>
        <w:spacing w:line="240" w:lineRule="atLeast"/>
        <w:ind w:firstLine="709"/>
        <w:jc w:val="both"/>
        <w:rPr>
          <w:color w:val="1C283D"/>
        </w:rPr>
      </w:pPr>
      <w:r>
        <w:rPr>
          <w:color w:val="1C283D"/>
          <w:sz w:val="20"/>
          <w:szCs w:val="20"/>
        </w:rPr>
        <w:t> </w:t>
      </w:r>
    </w:p>
    <w:p w:rsidR="00AC46A6" w:rsidRDefault="00AC46A6" w:rsidP="00AC46A6">
      <w:pPr>
        <w:spacing w:line="240" w:lineRule="atLeast"/>
        <w:ind w:firstLine="709"/>
        <w:jc w:val="both"/>
        <w:rPr>
          <w:color w:val="1C283D"/>
        </w:rPr>
      </w:pPr>
      <w:r>
        <w:rPr>
          <w:b/>
          <w:bCs/>
          <w:color w:val="1C283D"/>
          <w:sz w:val="20"/>
          <w:szCs w:val="20"/>
        </w:rPr>
        <w:t>Meslek Yüksekokullarına Kayıt ve Bitirme</w:t>
      </w:r>
    </w:p>
    <w:p w:rsidR="00AC46A6" w:rsidRDefault="00AC46A6" w:rsidP="00AC46A6">
      <w:pPr>
        <w:spacing w:line="240" w:lineRule="atLeast"/>
        <w:ind w:firstLine="709"/>
        <w:jc w:val="both"/>
        <w:rPr>
          <w:color w:val="1C283D"/>
        </w:rPr>
      </w:pPr>
      <w:r>
        <w:rPr>
          <w:b/>
          <w:bCs/>
          <w:color w:val="1C283D"/>
          <w:sz w:val="20"/>
          <w:szCs w:val="20"/>
        </w:rPr>
        <w:t>Madde 5-</w:t>
      </w:r>
      <w:r>
        <w:rPr>
          <w:color w:val="1C283D"/>
          <w:sz w:val="20"/>
          <w:szCs w:val="20"/>
        </w:rPr>
        <w:t xml:space="preserve"> Meslek yüksekokullarına intibak ettirilmek üzere yapılan başvurular kontenjan fazla olduğu takdirde, öğrenciler başarı derecelerine göre kaydedilir.</w:t>
      </w:r>
    </w:p>
    <w:p w:rsidR="00AC46A6" w:rsidRDefault="00AC46A6" w:rsidP="00AC46A6">
      <w:pPr>
        <w:spacing w:line="240" w:lineRule="atLeast"/>
        <w:ind w:firstLine="709"/>
        <w:jc w:val="both"/>
        <w:rPr>
          <w:color w:val="1C283D"/>
        </w:rPr>
      </w:pPr>
      <w:r>
        <w:rPr>
          <w:color w:val="1C283D"/>
          <w:sz w:val="20"/>
          <w:szCs w:val="20"/>
        </w:rPr>
        <w:t> </w:t>
      </w:r>
    </w:p>
    <w:p w:rsidR="00AC46A6" w:rsidRDefault="00AC46A6" w:rsidP="00AC46A6">
      <w:pPr>
        <w:spacing w:line="240" w:lineRule="atLeast"/>
        <w:ind w:firstLine="709"/>
        <w:jc w:val="both"/>
        <w:rPr>
          <w:color w:val="1C283D"/>
        </w:rPr>
      </w:pPr>
      <w:r>
        <w:rPr>
          <w:color w:val="1C283D"/>
          <w:sz w:val="20"/>
          <w:szCs w:val="20"/>
        </w:rPr>
        <w:t xml:space="preserve">Bu yönetmeliğin 3. Maddesi kapsamında olanlar, meslek yüksekokullarının intibak ettirildikleri </w:t>
      </w:r>
      <w:proofErr w:type="gramStart"/>
      <w:r>
        <w:rPr>
          <w:color w:val="1C283D"/>
          <w:sz w:val="20"/>
          <w:szCs w:val="20"/>
        </w:rPr>
        <w:t>yarı yıllarda</w:t>
      </w:r>
      <w:proofErr w:type="gramEnd"/>
      <w:r>
        <w:rPr>
          <w:color w:val="1C283D"/>
          <w:sz w:val="20"/>
          <w:szCs w:val="20"/>
        </w:rPr>
        <w:t xml:space="preserve"> kendileri için tespit edilen dersleri almak, uygulamaları yerine getirmek ve bunlardan başarı sağlamak suretiyle meslek yüksekokulu mezunu sayılırlar.</w:t>
      </w:r>
    </w:p>
    <w:p w:rsidR="00AC46A6" w:rsidRDefault="00AC46A6" w:rsidP="00AC46A6">
      <w:pPr>
        <w:spacing w:line="240" w:lineRule="atLeast"/>
        <w:ind w:firstLine="709"/>
        <w:jc w:val="both"/>
        <w:rPr>
          <w:color w:val="1C283D"/>
        </w:rPr>
      </w:pPr>
      <w:r>
        <w:rPr>
          <w:color w:val="1C283D"/>
          <w:sz w:val="20"/>
          <w:szCs w:val="20"/>
        </w:rPr>
        <w:t> </w:t>
      </w:r>
    </w:p>
    <w:p w:rsidR="00AC46A6" w:rsidRDefault="00AC46A6" w:rsidP="00AC46A6">
      <w:pPr>
        <w:spacing w:line="240" w:lineRule="atLeast"/>
        <w:ind w:firstLine="709"/>
        <w:jc w:val="both"/>
        <w:rPr>
          <w:color w:val="1C283D"/>
        </w:rPr>
      </w:pPr>
      <w:r>
        <w:rPr>
          <w:color w:val="1C283D"/>
          <w:sz w:val="20"/>
          <w:szCs w:val="20"/>
        </w:rPr>
        <w:t>Yukarıda belirlenen öğrencilerin eğitim-öğretim programlarının seçimi, başarı dereceleri, intibakları ve alacakları derslerin tespiti gibi işlemler, ilgili meslek yüksekokullarının yönetim kurulu tarafından yapılır.</w:t>
      </w:r>
    </w:p>
    <w:p w:rsidR="00AC46A6" w:rsidRDefault="00AC46A6" w:rsidP="00AC46A6">
      <w:pPr>
        <w:spacing w:line="240" w:lineRule="atLeast"/>
        <w:ind w:firstLine="709"/>
        <w:jc w:val="both"/>
        <w:rPr>
          <w:color w:val="1C283D"/>
        </w:rPr>
      </w:pPr>
      <w:r>
        <w:rPr>
          <w:color w:val="1C283D"/>
          <w:sz w:val="20"/>
          <w:szCs w:val="20"/>
        </w:rPr>
        <w:t> </w:t>
      </w:r>
    </w:p>
    <w:p w:rsidR="00AC46A6" w:rsidRDefault="00AC46A6" w:rsidP="00AC46A6">
      <w:pPr>
        <w:spacing w:line="240" w:lineRule="atLeast"/>
        <w:ind w:firstLine="709"/>
        <w:jc w:val="both"/>
        <w:rPr>
          <w:color w:val="1C283D"/>
        </w:rPr>
      </w:pPr>
      <w:r>
        <w:rPr>
          <w:b/>
          <w:bCs/>
          <w:color w:val="1C283D"/>
          <w:sz w:val="20"/>
          <w:szCs w:val="20"/>
        </w:rPr>
        <w:t>Yürürlük</w:t>
      </w:r>
    </w:p>
    <w:p w:rsidR="00AC46A6" w:rsidRDefault="00AC46A6" w:rsidP="00AC46A6">
      <w:pPr>
        <w:spacing w:line="240" w:lineRule="atLeast"/>
        <w:ind w:firstLine="709"/>
        <w:jc w:val="both"/>
        <w:rPr>
          <w:color w:val="1C283D"/>
        </w:rPr>
      </w:pPr>
      <w:r>
        <w:rPr>
          <w:b/>
          <w:bCs/>
          <w:color w:val="1C283D"/>
          <w:sz w:val="20"/>
          <w:szCs w:val="20"/>
        </w:rPr>
        <w:t>Madde 6-</w:t>
      </w:r>
      <w:r>
        <w:rPr>
          <w:color w:val="1C283D"/>
          <w:sz w:val="20"/>
          <w:szCs w:val="20"/>
        </w:rPr>
        <w:t xml:space="preserve"> Bu yönetmelik Resmi </w:t>
      </w:r>
      <w:proofErr w:type="spellStart"/>
      <w:r>
        <w:rPr>
          <w:color w:val="1C283D"/>
          <w:sz w:val="20"/>
          <w:szCs w:val="20"/>
        </w:rPr>
        <w:t>Gazete’de</w:t>
      </w:r>
      <w:proofErr w:type="spellEnd"/>
      <w:r>
        <w:rPr>
          <w:color w:val="1C283D"/>
          <w:sz w:val="20"/>
          <w:szCs w:val="20"/>
        </w:rPr>
        <w:t xml:space="preserve"> yayımlandığı tarihte yürürlüğe girer.</w:t>
      </w:r>
    </w:p>
    <w:p w:rsidR="00AC46A6" w:rsidRDefault="00AC46A6" w:rsidP="00AC46A6">
      <w:pPr>
        <w:spacing w:line="240" w:lineRule="atLeast"/>
        <w:ind w:firstLine="709"/>
        <w:jc w:val="both"/>
        <w:rPr>
          <w:color w:val="1C283D"/>
        </w:rPr>
      </w:pPr>
      <w:r>
        <w:rPr>
          <w:color w:val="1C283D"/>
          <w:sz w:val="20"/>
          <w:szCs w:val="20"/>
        </w:rPr>
        <w:t> </w:t>
      </w:r>
    </w:p>
    <w:p w:rsidR="00AC46A6" w:rsidRDefault="00AC46A6" w:rsidP="00AC46A6">
      <w:pPr>
        <w:spacing w:line="240" w:lineRule="atLeast"/>
        <w:ind w:firstLine="709"/>
        <w:jc w:val="both"/>
        <w:rPr>
          <w:color w:val="1C283D"/>
        </w:rPr>
      </w:pPr>
      <w:r>
        <w:rPr>
          <w:b/>
          <w:bCs/>
          <w:color w:val="1C283D"/>
          <w:sz w:val="20"/>
          <w:szCs w:val="20"/>
        </w:rPr>
        <w:t>Yürütme</w:t>
      </w:r>
    </w:p>
    <w:p w:rsidR="00AC46A6" w:rsidRDefault="00AC46A6" w:rsidP="00AC46A6">
      <w:pPr>
        <w:spacing w:line="240" w:lineRule="atLeast"/>
        <w:ind w:firstLine="709"/>
        <w:jc w:val="both"/>
        <w:rPr>
          <w:color w:val="1C283D"/>
        </w:rPr>
      </w:pPr>
      <w:r>
        <w:rPr>
          <w:b/>
          <w:bCs/>
          <w:color w:val="1C283D"/>
          <w:sz w:val="20"/>
          <w:szCs w:val="20"/>
        </w:rPr>
        <w:t>Madde 7-</w:t>
      </w:r>
      <w:r>
        <w:rPr>
          <w:color w:val="1C283D"/>
          <w:sz w:val="20"/>
          <w:szCs w:val="20"/>
        </w:rPr>
        <w:t xml:space="preserve"> Bu yönetmelik hükümlerini Yükseköğretim Kurulu Başkanı yürütür.</w:t>
      </w:r>
    </w:p>
    <w:p w:rsidR="0059702D" w:rsidRDefault="0059702D"/>
    <w:sectPr w:rsidR="00597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A6"/>
    <w:rsid w:val="0059702D"/>
    <w:rsid w:val="00AC4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622253">
      <w:bodyDiv w:val="1"/>
      <w:marLeft w:val="0"/>
      <w:marRight w:val="0"/>
      <w:marTop w:val="0"/>
      <w:marBottom w:val="0"/>
      <w:divBdr>
        <w:top w:val="none" w:sz="0" w:space="0" w:color="auto"/>
        <w:left w:val="none" w:sz="0" w:space="0" w:color="auto"/>
        <w:bottom w:val="none" w:sz="0" w:space="0" w:color="auto"/>
        <w:right w:val="none" w:sz="0" w:space="0" w:color="auto"/>
      </w:divBdr>
      <w:divsChild>
        <w:div w:id="545265721">
          <w:marLeft w:val="0"/>
          <w:marRight w:val="0"/>
          <w:marTop w:val="100"/>
          <w:marBottom w:val="100"/>
          <w:divBdr>
            <w:top w:val="none" w:sz="0" w:space="0" w:color="auto"/>
            <w:left w:val="none" w:sz="0" w:space="0" w:color="auto"/>
            <w:bottom w:val="none" w:sz="0" w:space="0" w:color="auto"/>
            <w:right w:val="none" w:sz="0" w:space="0" w:color="auto"/>
          </w:divBdr>
          <w:divsChild>
            <w:div w:id="10379902">
              <w:marLeft w:val="0"/>
              <w:marRight w:val="0"/>
              <w:marTop w:val="0"/>
              <w:marBottom w:val="0"/>
              <w:divBdr>
                <w:top w:val="none" w:sz="0" w:space="0" w:color="auto"/>
                <w:left w:val="none" w:sz="0" w:space="0" w:color="auto"/>
                <w:bottom w:val="none" w:sz="0" w:space="0" w:color="auto"/>
                <w:right w:val="none" w:sz="0" w:space="0" w:color="auto"/>
              </w:divBdr>
              <w:divsChild>
                <w:div w:id="429085498">
                  <w:marLeft w:val="0"/>
                  <w:marRight w:val="0"/>
                  <w:marTop w:val="0"/>
                  <w:marBottom w:val="0"/>
                  <w:divBdr>
                    <w:top w:val="none" w:sz="0" w:space="0" w:color="auto"/>
                    <w:left w:val="none" w:sz="0" w:space="0" w:color="auto"/>
                    <w:bottom w:val="none" w:sz="0" w:space="0" w:color="auto"/>
                    <w:right w:val="none" w:sz="0" w:space="0" w:color="auto"/>
                  </w:divBdr>
                  <w:divsChild>
                    <w:div w:id="18184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1</cp:revision>
  <dcterms:created xsi:type="dcterms:W3CDTF">2015-02-08T13:53:00Z</dcterms:created>
  <dcterms:modified xsi:type="dcterms:W3CDTF">2015-02-08T13:53:00Z</dcterms:modified>
</cp:coreProperties>
</file>