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B7485D">
            <w:pPr>
              <w:rPr>
                <w:rFonts w:ascii="Times New Roman" w:hAnsi="Times New Roman" w:cs="Times New Roman"/>
              </w:rPr>
            </w:pPr>
            <w:r>
              <w:rPr>
                <w:rFonts w:ascii="Times New Roman" w:hAnsi="Times New Roman" w:cs="Times New Roman"/>
              </w:rPr>
              <w:t>Hukuk</w:t>
            </w:r>
            <w:r w:rsidR="00403ADD" w:rsidRPr="00403ADD">
              <w:rPr>
                <w:rFonts w:ascii="Times New Roman" w:hAnsi="Times New Roman" w:cs="Times New Roman"/>
              </w:rPr>
              <w:t xml:space="preserve"> Fakültesi Dekanlığı/Dekan Yardımcılığı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D51AF6">
              <w:rPr>
                <w:rFonts w:ascii="Times New Roman" w:hAnsi="Times New Roman" w:cs="Times New Roman"/>
              </w:rPr>
              <w:t xml:space="preserve">of. Dr., Doç.Dr. veya </w:t>
            </w:r>
            <w:r w:rsidRPr="00403ADD">
              <w:rPr>
                <w:rFonts w:ascii="Times New Roman" w:hAnsi="Times New Roman" w:cs="Times New Roman"/>
              </w:rPr>
              <w:t>Dr.</w:t>
            </w:r>
            <w:r w:rsidR="00D51AF6">
              <w:rPr>
                <w:rFonts w:ascii="Times New Roman" w:hAnsi="Times New Roman" w:cs="Times New Roman"/>
              </w:rPr>
              <w:t xml:space="preserve">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 xml:space="preserve">Dekan Yardımcısı </w:t>
            </w:r>
            <w:r w:rsidR="00183DC6" w:rsidRPr="00183DC6">
              <w:rPr>
                <w:rFonts w:ascii="Times New Roman" w:hAnsi="Times New Roman" w:cs="Times New Roman"/>
              </w:rPr>
              <w:t>(İdari-Mali İşler)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1B65B9">
            <w:pPr>
              <w:rPr>
                <w:rFonts w:ascii="Times New Roman" w:hAnsi="Times New Roman" w:cs="Times New Roman"/>
              </w:rPr>
            </w:pPr>
            <w:r>
              <w:rPr>
                <w:rFonts w:ascii="Times New Roman" w:hAnsi="Times New Roman" w:cs="Times New Roman"/>
              </w:rPr>
              <w:t>Hukuk</w:t>
            </w:r>
            <w:r w:rsidR="00403ADD" w:rsidRPr="00403ADD">
              <w:rPr>
                <w:rFonts w:ascii="Times New Roman" w:hAnsi="Times New Roman" w:cs="Times New Roman"/>
              </w:rPr>
              <w:t xml:space="preserve"> Fakültesi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585156" w:rsidRDefault="00183DC6" w:rsidP="00585156">
            <w:pPr>
              <w:ind w:left="708"/>
              <w:jc w:val="both"/>
              <w:rPr>
                <w:rFonts w:ascii="Times New Roman" w:hAnsi="Times New Roman" w:cs="Times New Roman"/>
              </w:rPr>
            </w:pPr>
            <w:r w:rsidRPr="00585156">
              <w:rPr>
                <w:rFonts w:ascii="Times New Roman" w:hAnsi="Times New Roman" w:cs="Times New Roman"/>
              </w:rPr>
              <w:t>İlgili Mevzuat çerçevesinde, Fakültenin vizyonu ve misyonu doğrultusunda idari ve mali işlerinin 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C23377" w:rsidRDefault="00D4376A" w:rsidP="0044224A">
            <w:pPr>
              <w:ind w:left="313"/>
              <w:jc w:val="both"/>
              <w:rPr>
                <w:rFonts w:ascii="Times New Roman" w:hAnsi="Times New Roman" w:cs="Times New Roman"/>
                <w:b/>
              </w:rPr>
            </w:pPr>
            <w:r w:rsidRPr="00C23377">
              <w:rPr>
                <w:rFonts w:ascii="Times New Roman" w:hAnsi="Times New Roman" w:cs="Times New Roman"/>
                <w:b/>
              </w:rPr>
              <w:t xml:space="preserve"> 2) GÖREV/İŞ YETKİ VE SORUMLULUKLAR</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2547 sayılı Yükseköğretim Kanunu ve 657 Sayılı Devlet Memurları Kanunu çerçevesinde verilen görevleri yapmak.</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Birimin tüm sevk ve idaresinde Dekana birinci derecede yardımcı olmak.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Fakülteyi üst düzeyde ve Üniversite Senatosu ile Yönetim Kurulunda temsil etmek.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 Kurullarına ve Fakülte Yönetim Kurullarına başkanlık etmek.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Dekanın katılamadığı durumlarda dış paydaşlarla ilgili toplantılarda Fakülteyi temsil etmek ve ikili ilişkileri yürütmek.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Fakültede idari ve mali işlerin düzenli bir şekilde sürdürülmesini sağlamak.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Fakülte idari ve mali işlerini ilgilendiren mevzuatı sürekli takip etmek.</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Fakülte idari ve mali işlerine ilişkin, yönetmelik ve yönergeler hazırlanması hususunda Dekana yardımcı olmak.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Fakültenin idari ve mali işleri ile ilgili sorunların tespit edilmesi, çözüme kavuşturulmasında Dekana yardımcı olmak.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İdari ve mali işlerin daha etkin ve verimli olmasına yönelik politikalar ve stratejiler ile ilgili Dekana görüş bildirmek.</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Fakülte Öz Değerlendirme ve Kalite Geliştirme çalışmalarının yürütül</w:t>
            </w:r>
            <w:r>
              <w:rPr>
                <w:rFonts w:ascii="Times New Roman" w:hAnsi="Times New Roman" w:cs="Times New Roman"/>
              </w:rPr>
              <w:t>mesinde Dekana yardımcı olmak.</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Öz Değerlendirme ve Kalite Geliştirme çalışmaları için standartların belirlenmesini sağlamak.</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Öz Değerlendirme ve Kalite Geliştirme çalışmaları için kurulların oluşturulmasını ve çalışmalarını sağlamak.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Öz Değerlendirme ve Kalite Geliştirme çalışmalarının yıllık raporlarının hazırlanmasını ve Dekanlığa sunulmasını sağlamak.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 xml:space="preserve">Ders ücret formlarının kontrolünü sağlamak. </w:t>
            </w:r>
          </w:p>
          <w:p w:rsidR="00183DC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Dilek ve öneri kutularının düzenli olarak açılmasını sağlamak ve değerlendirmesini yapmak.</w:t>
            </w:r>
          </w:p>
          <w:p w:rsidR="00585156" w:rsidRDefault="00183DC6" w:rsidP="00585156">
            <w:pPr>
              <w:pStyle w:val="ListeParagraf"/>
              <w:numPr>
                <w:ilvl w:val="0"/>
                <w:numId w:val="15"/>
              </w:numPr>
              <w:ind w:left="1068"/>
              <w:jc w:val="both"/>
              <w:rPr>
                <w:rFonts w:ascii="Times New Roman" w:hAnsi="Times New Roman" w:cs="Times New Roman"/>
              </w:rPr>
            </w:pPr>
            <w:r w:rsidRPr="00183DC6">
              <w:rPr>
                <w:rFonts w:ascii="Times New Roman" w:hAnsi="Times New Roman" w:cs="Times New Roman"/>
              </w:rPr>
              <w:t>Fakültenin yürüteceği tüm organizasyonlarda (Kongre, Seminer, Panel, Sempozyum, Yemek vb.) Fakülte Sekreteri ile koordineli çalışarak organizasyonları yapmak, basın yayın kuruluşları ve kamu k</w:t>
            </w:r>
            <w:r w:rsidR="00585156">
              <w:rPr>
                <w:rFonts w:ascii="Times New Roman" w:hAnsi="Times New Roman" w:cs="Times New Roman"/>
              </w:rPr>
              <w:t>uruluşları ile irtibata geçmek.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Fakültenin, personel (özlük hakları, akademik personel alımı, süre uzatma, idari soruşturma vb.) işlerinin koordinasyonunu sağlamak ve yürütmek.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lastRenderedPageBreak/>
              <w:t xml:space="preserve">Akademik ve idari personelin kadro, izin ve diğer özlük işlemlerini takip etmek ve personelin isteklerini dinlemek, çözüme kavuşturmak.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Sivil savunma hizmetlerinin ve güvenlik hizmetlerinin takibini yapmak, mevzuata uygun olarak yürütülmesini sağlamak.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Çalışma ortamlarında ve laboratuvarlarda, iş sağlığı ve güvenliği ile ilgili hususların uygulanması konusunda gerekli uyarıları yapmak, önlemlerin alınmasını sağlamak.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Bilirkişilik görevlendirmelerinin yapılmasını sağlamak. Arşiv, istatistik ve veri tabanı çalışmalarının sağlıklı bir şekilde yürütülmesini sağlamak.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Fakültede açılacak kitap sergileri, stantlar ile asılmak istenen afiş ve benzeri talepleri incelemek, denetlemek.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Fakülte İç Kontrol Uyum Eylem Planı’nın hazırlanmasını, denetimini ve ilgili birimlere sunulmasını sağlamak.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Satın alma ve ihalelerle ilgili çalışmaları denetlemek ve sonuçlandırmak.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Teknik/Teknolojik/Fiziki altyapının planlanması, verimli kullanımı ve iyileştirilmesini sağlamak.</w:t>
            </w:r>
          </w:p>
          <w:p w:rsidR="00585156" w:rsidRP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Tahakkuk, taşınır kayıt ve kontrol, satın alma, bütçe ve ödenek durumlarının takibini yapmak</w:t>
            </w:r>
            <w:r w:rsidRPr="00585156">
              <w:rPr>
                <w:rFonts w:ascii="Times New Roman" w:hAnsi="Times New Roman" w:cs="Times New Roman"/>
                <w:color w:val="FF0000"/>
              </w:rPr>
              <w:t>.</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Baskı, fotokopi vb. işlerin düzenli yapılmasını sağlamak.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Fakülteye alınacak araç, gereç ve malzemelere ilişkin ilgililerle görüşmeler yapmak, onların görüş ve önerilerini almak.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Çalışma odaları, derslikler, amfiler ile ilgili ihtiyaçların belirlenmesini, hazırlıkların gözden geçirilmesini ve çalışmaların denetlenmesini sağlamak.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Dersliklere ait ders araç-gereç ihtiyaçların belirlenmesi ve teminini sağlamak.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Laboratuvarlardaki araç-gereç ihtiyaçlarının tespitinin ve giderilmesi için gerekli çalışmaların yapılmasını sağlamak.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Tüketim malzemelerinin dönem çıkış raporlarının takibini yapmak.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Taşınır devirleri ve hurdaya ayırma çalışmalarını yapmak ve bu konuda Dekana görüş bildirmek.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Engelliler ile ilgili düzenlemelerin tespitinin ve takibinin yapılmasını sağlamak.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Fakültenin tanıtımının yapılmasını sağlamak, tanıtım kitapçığı ve broşürü hazırlatmak.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Fakültede araştırma projelerinin düzenli olarak hazırlanması ve sürdürülmesini sağlanması konusunda Dekana yardımcı olmak.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Yapılan tüm idari ve mali işlerde tasarruf ilkelerine uygun hareket etmek.</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Her eğitim-öğretim yılı sonunda ve istendiğinde Fakültenin idari ve mali durumuna ilişkin Dekana rapor vermek.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Kendi sorumluluğunda olan bütün büro makineleri ve demirbaşların her türlü hasara karşı korunması için gerekli tedbirleri almak. Sorumluluğundaki mevcut araç, gereç ve her türlü malzemenin yerinde ve ekonomik kullanılmasını sağlamak.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Diğer Dekan yardımcısının (Eğitim-Öğretim İşleri) görevi başında bulunmadığı zamanlarda onun görevlerini yapmak.  </w:t>
            </w:r>
          </w:p>
          <w:p w:rsid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 xml:space="preserve">Dekanın görev alanı ile ilgili vereceği diğer görevleri yapmak. </w:t>
            </w:r>
          </w:p>
          <w:p w:rsidR="00D4376A" w:rsidRPr="00585156" w:rsidRDefault="00183DC6" w:rsidP="00585156">
            <w:pPr>
              <w:pStyle w:val="ListeParagraf"/>
              <w:numPr>
                <w:ilvl w:val="0"/>
                <w:numId w:val="15"/>
              </w:numPr>
              <w:ind w:left="1068"/>
              <w:jc w:val="both"/>
              <w:rPr>
                <w:rFonts w:ascii="Times New Roman" w:hAnsi="Times New Roman" w:cs="Times New Roman"/>
              </w:rPr>
            </w:pPr>
            <w:r w:rsidRPr="00585156">
              <w:rPr>
                <w:rFonts w:ascii="Times New Roman" w:hAnsi="Times New Roman" w:cs="Times New Roman"/>
              </w:rPr>
              <w:t>Dekan Yardımcısı,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A23B45">
              <w:rPr>
                <w:rFonts w:ascii="Times New Roman" w:hAnsi="Times New Roman" w:cs="Times New Roman"/>
              </w:rPr>
              <w:t>l</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44224A">
              <w:rPr>
                <w:rFonts w:ascii="Times New Roman" w:hAnsi="Times New Roman" w:cs="Times New Roman"/>
              </w:rPr>
              <w:t>X</w:t>
            </w:r>
            <w:r w:rsidRPr="00C23377">
              <w:rPr>
                <w:rFonts w:ascii="Times New Roman" w:hAnsi="Times New Roman" w:cs="Times New Roman"/>
              </w:rPr>
              <w:t xml:space="preserve"> ] Her İkisi</w:t>
            </w:r>
            <w:r w:rsidR="006F1374">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017C48">
            <w:pPr>
              <w:ind w:left="360"/>
              <w:rPr>
                <w:rFonts w:ascii="Times New Roman" w:hAnsi="Times New Roman" w:cs="Times New Roman"/>
              </w:rPr>
            </w:pPr>
            <w:r w:rsidRPr="0044224A">
              <w:rPr>
                <w:rFonts w:ascii="Times New Roman" w:hAnsi="Times New Roman" w:cs="Times New Roman"/>
              </w:rPr>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t>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44224A" w:rsidP="00017C48">
            <w:pPr>
              <w:pStyle w:val="ListeParagraf"/>
              <w:rPr>
                <w:rFonts w:ascii="Times New Roman" w:hAnsi="Times New Roman" w:cs="Times New Roman"/>
              </w:rPr>
            </w:pPr>
            <w:r>
              <w:rPr>
                <w:rFonts w:ascii="Times New Roman" w:hAnsi="Times New Roman" w:cs="Times New Roman"/>
              </w:rPr>
              <w:t>Yok.</w:t>
            </w:r>
          </w:p>
        </w:tc>
      </w:tr>
      <w:tr w:rsidR="00017C48" w:rsidRPr="00C23377" w:rsidTr="004C48B7">
        <w:tc>
          <w:tcPr>
            <w:tcW w:w="9883" w:type="dxa"/>
            <w:gridSpan w:val="3"/>
          </w:tcPr>
          <w:p w:rsidR="00017C48" w:rsidRPr="00585156" w:rsidRDefault="00017C48" w:rsidP="00585156">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585156" w:rsidRDefault="00017C48" w:rsidP="00585156">
            <w:pPr>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ÖZ</w:t>
            </w:r>
            <w:r w:rsidR="001B36C8">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Önderlik yeteneğine sahip.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Kendini sürekli yenileyen.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Araştırıcı ve meraklı.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Mevzuatı takip edebilen, yorum yapabilen.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Hızlı, düzenli ve dikkatli.</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Analitik düşünebilen ve analiz yapabilen.</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r>
              <w:rPr>
                <w:rFonts w:ascii="Times New Roman" w:hAnsi="Times New Roman" w:cs="Times New Roman"/>
              </w:rPr>
              <w:t xml:space="preserve">İkna kabiliyeti yüksek.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Zaman yönetimini iyi yapabilen. </w:t>
            </w:r>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Pr="00C23377" w:rsidRDefault="00A23B45" w:rsidP="00017C48">
            <w:pPr>
              <w:pStyle w:val="ListeParagraf"/>
              <w:jc w:val="center"/>
              <w:rPr>
                <w:rFonts w:ascii="Times New Roman" w:hAnsi="Times New Roman" w:cs="Times New Roman"/>
                <w:b/>
                <w:i/>
              </w:rPr>
            </w:pPr>
            <w:r>
              <w:rPr>
                <w:rFonts w:ascii="Times New Roman" w:hAnsi="Times New Roman" w:cs="Times New Roman"/>
                <w:b/>
                <w:i/>
              </w:rPr>
              <w:t>Bu dok</w:t>
            </w:r>
            <w:r w:rsidR="001B36C8">
              <w:rPr>
                <w:rFonts w:ascii="Times New Roman" w:hAnsi="Times New Roman" w:cs="Times New Roman"/>
                <w:b/>
                <w:i/>
              </w:rPr>
              <w:t>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3B7407" w:rsidRDefault="003B7407" w:rsidP="003B7407">
            <w:pPr>
              <w:pStyle w:val="ListeParagraf"/>
              <w:rPr>
                <w:rFonts w:ascii="Times New Roman" w:hAnsi="Times New Roman" w:cs="Times New Roman"/>
              </w:rPr>
            </w:pPr>
            <w:r>
              <w:rPr>
                <w:rFonts w:ascii="Times New Roman" w:hAnsi="Times New Roman" w:cs="Times New Roman"/>
              </w:rPr>
              <w:t>Adı ve Soyadı  :</w:t>
            </w:r>
          </w:p>
          <w:p w:rsidR="003B7407" w:rsidRDefault="003B7407" w:rsidP="003B7407">
            <w:pPr>
              <w:pStyle w:val="ListeParagraf"/>
              <w:rPr>
                <w:rFonts w:ascii="Times New Roman" w:hAnsi="Times New Roman" w:cs="Times New Roman"/>
              </w:rPr>
            </w:pPr>
          </w:p>
          <w:p w:rsidR="003B7407" w:rsidRDefault="003B7407" w:rsidP="003B7407">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3B7407" w:rsidRDefault="003B7407" w:rsidP="003B7407">
            <w:pPr>
              <w:pStyle w:val="ListeParagraf"/>
              <w:rPr>
                <w:rFonts w:ascii="Times New Roman" w:hAnsi="Times New Roman" w:cs="Times New Roman"/>
              </w:rPr>
            </w:pPr>
          </w:p>
          <w:p w:rsidR="00017C48" w:rsidRPr="00C23377" w:rsidRDefault="003B7407" w:rsidP="003B7407">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4224A">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9C0AD4" w:rsidRDefault="009C0AD4" w:rsidP="003B7407">
            <w:pPr>
              <w:pStyle w:val="ListeParagraf"/>
              <w:rPr>
                <w:rFonts w:ascii="Times New Roman" w:hAnsi="Times New Roman" w:cs="Times New Roman"/>
              </w:rPr>
            </w:pPr>
          </w:p>
          <w:p w:rsidR="003B7407" w:rsidRDefault="003B7407" w:rsidP="003B7407">
            <w:pPr>
              <w:pStyle w:val="ListeParagraf"/>
              <w:rPr>
                <w:rFonts w:ascii="Times New Roman" w:hAnsi="Times New Roman" w:cs="Times New Roman"/>
              </w:rPr>
            </w:pPr>
            <w:r>
              <w:rPr>
                <w:rFonts w:ascii="Times New Roman" w:hAnsi="Times New Roman" w:cs="Times New Roman"/>
              </w:rPr>
              <w:t>Adı ve Soyadı  :</w:t>
            </w:r>
          </w:p>
          <w:p w:rsidR="003B7407" w:rsidRDefault="003B7407" w:rsidP="003B7407">
            <w:pPr>
              <w:pStyle w:val="ListeParagraf"/>
              <w:rPr>
                <w:rFonts w:ascii="Times New Roman" w:hAnsi="Times New Roman" w:cs="Times New Roman"/>
              </w:rPr>
            </w:pPr>
          </w:p>
          <w:p w:rsidR="003B7407" w:rsidRDefault="003B7407" w:rsidP="003B7407">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3B7407" w:rsidRDefault="003B7407" w:rsidP="003B7407">
            <w:pPr>
              <w:pStyle w:val="ListeParagraf"/>
              <w:rPr>
                <w:rFonts w:ascii="Times New Roman" w:hAnsi="Times New Roman" w:cs="Times New Roman"/>
              </w:rPr>
            </w:pPr>
          </w:p>
          <w:p w:rsidR="00E67A00" w:rsidRPr="00C23377" w:rsidRDefault="003B7407" w:rsidP="003B7407">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50" w:rsidRDefault="00472350" w:rsidP="00D4376A">
      <w:pPr>
        <w:spacing w:after="0" w:line="240" w:lineRule="auto"/>
      </w:pPr>
      <w:r>
        <w:separator/>
      </w:r>
    </w:p>
  </w:endnote>
  <w:endnote w:type="continuationSeparator" w:id="0">
    <w:p w:rsidR="00472350" w:rsidRDefault="00472350"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5D" w:rsidRDefault="00B748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FD3826"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4B53D2"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4B53D2"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4B53D2"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4B53D2"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4B53D2"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4B53D2"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5D" w:rsidRDefault="00B748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50" w:rsidRDefault="00472350" w:rsidP="00D4376A">
      <w:pPr>
        <w:spacing w:after="0" w:line="240" w:lineRule="auto"/>
      </w:pPr>
      <w:r>
        <w:separator/>
      </w:r>
    </w:p>
  </w:footnote>
  <w:footnote w:type="continuationSeparator" w:id="0">
    <w:p w:rsidR="00472350" w:rsidRDefault="00472350"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5D" w:rsidRDefault="00B748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8"/>
      <w:gridCol w:w="5583"/>
      <w:gridCol w:w="1627"/>
      <w:gridCol w:w="1347"/>
    </w:tblGrid>
    <w:tr w:rsidR="00D4376A" w:rsidTr="00990597">
      <w:trPr>
        <w:cantSplit/>
        <w:trHeight w:val="300"/>
      </w:trPr>
      <w:tc>
        <w:tcPr>
          <w:tcW w:w="667" w:type="pct"/>
          <w:vMerge w:val="restart"/>
          <w:vAlign w:val="center"/>
          <w:hideMark/>
        </w:tcPr>
        <w:p w:rsidR="00D4376A" w:rsidRDefault="00FD3826" w:rsidP="00D4376A">
          <w:pPr>
            <w:pStyle w:val="stBilgi"/>
            <w:jc w:val="center"/>
            <w:rPr>
              <w:rFonts w:ascii="Century Gothic" w:hAnsi="Century Gothic"/>
            </w:rPr>
          </w:pPr>
          <w:r>
            <w:rPr>
              <w:noProof/>
              <w:lang w:eastAsia="tr-TR"/>
            </w:rPr>
            <w:drawing>
              <wp:inline distT="0" distB="0" distL="0" distR="0" wp14:anchorId="7C6BAB2B" wp14:editId="499298FE">
                <wp:extent cx="748030" cy="731520"/>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2827" w:type="pct"/>
          <w:vMerge w:val="restart"/>
          <w:vAlign w:val="center"/>
          <w:hideMark/>
        </w:tcPr>
        <w:p w:rsidR="00D4376A" w:rsidRPr="005E6790" w:rsidRDefault="00D4376A" w:rsidP="00D4376A">
          <w:pPr>
            <w:pStyle w:val="stBilgi"/>
            <w:jc w:val="center"/>
            <w:rPr>
              <w:rFonts w:ascii="Times New Roman" w:hAnsi="Times New Roman" w:cs="Times New Roman"/>
              <w:b/>
              <w:sz w:val="28"/>
              <w:szCs w:val="28"/>
            </w:rPr>
          </w:pPr>
          <w:r w:rsidRPr="005E6790">
            <w:rPr>
              <w:rFonts w:ascii="Times New Roman" w:hAnsi="Times New Roman" w:cs="Times New Roman"/>
              <w:b/>
              <w:sz w:val="28"/>
              <w:szCs w:val="28"/>
            </w:rPr>
            <w:t>DİCLE ÜNİVERSİTESİ</w:t>
          </w:r>
        </w:p>
        <w:p w:rsidR="002F2A17" w:rsidRPr="005E6790" w:rsidRDefault="00B7485D" w:rsidP="00D4376A">
          <w:pPr>
            <w:pStyle w:val="stBilgi"/>
            <w:jc w:val="center"/>
            <w:rPr>
              <w:rFonts w:ascii="Times New Roman" w:hAnsi="Times New Roman" w:cs="Times New Roman"/>
              <w:b/>
              <w:sz w:val="28"/>
              <w:szCs w:val="28"/>
            </w:rPr>
          </w:pPr>
          <w:r>
            <w:rPr>
              <w:rFonts w:ascii="Times New Roman" w:hAnsi="Times New Roman" w:cs="Times New Roman"/>
              <w:b/>
              <w:sz w:val="28"/>
              <w:szCs w:val="28"/>
            </w:rPr>
            <w:t>HUKUK</w:t>
          </w:r>
          <w:r w:rsidR="005E6790" w:rsidRPr="005E6790">
            <w:rPr>
              <w:rFonts w:ascii="Times New Roman" w:hAnsi="Times New Roman" w:cs="Times New Roman"/>
              <w:b/>
              <w:sz w:val="28"/>
              <w:szCs w:val="28"/>
            </w:rPr>
            <w:t xml:space="preserve"> FAKÜLTESİ </w:t>
          </w:r>
        </w:p>
        <w:p w:rsidR="00D4376A" w:rsidRDefault="00D4376A" w:rsidP="00D4376A">
          <w:pPr>
            <w:pStyle w:val="stBilgi"/>
            <w:jc w:val="center"/>
            <w:rPr>
              <w:rFonts w:ascii="Tahoma" w:hAnsi="Tahoma" w:cs="Tahoma"/>
              <w:b/>
              <w:bCs/>
              <w:sz w:val="40"/>
              <w:szCs w:val="40"/>
            </w:rPr>
          </w:pPr>
          <w:r w:rsidRPr="005E6790">
            <w:rPr>
              <w:rFonts w:ascii="Times New Roman" w:hAnsi="Times New Roman" w:cs="Times New Roman"/>
              <w:b/>
              <w:sz w:val="28"/>
              <w:szCs w:val="28"/>
            </w:rPr>
            <w:t xml:space="preserve"> </w:t>
          </w:r>
          <w:r w:rsidR="005E6790" w:rsidRPr="005E6790">
            <w:rPr>
              <w:rFonts w:ascii="Times New Roman" w:hAnsi="Times New Roman" w:cs="Times New Roman"/>
              <w:b/>
              <w:sz w:val="28"/>
              <w:szCs w:val="28"/>
            </w:rPr>
            <w:t xml:space="preserve">DEKAN YARDIMCISI </w:t>
          </w:r>
          <w:r w:rsidRPr="005E6790">
            <w:rPr>
              <w:rFonts w:ascii="Times New Roman" w:hAnsi="Times New Roman" w:cs="Times New Roman"/>
              <w:b/>
              <w:sz w:val="28"/>
              <w:szCs w:val="28"/>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B7485D" w:rsidP="006F1374">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6F1374">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8F5831">
            <w:rPr>
              <w:rFonts w:ascii="Times New Roman" w:hAnsi="Times New Roman" w:cs="Times New Roman"/>
              <w:b/>
              <w:bCs/>
              <w:sz w:val="18"/>
              <w:szCs w:val="18"/>
            </w:rPr>
            <w:t>02</w:t>
          </w:r>
        </w:p>
      </w:tc>
    </w:tr>
    <w:tr w:rsidR="00D4376A" w:rsidTr="00990597">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A23B45"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90597">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FD3826" w:rsidP="00742F2F">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990597">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5D" w:rsidRDefault="00B748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CA2"/>
    <w:multiLevelType w:val="hybridMultilevel"/>
    <w:tmpl w:val="5FF80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710962"/>
    <w:multiLevelType w:val="hybridMultilevel"/>
    <w:tmpl w:val="4E7C66F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F43050B"/>
    <w:multiLevelType w:val="hybridMultilevel"/>
    <w:tmpl w:val="533225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54B87"/>
    <w:rsid w:val="00061F18"/>
    <w:rsid w:val="000628D2"/>
    <w:rsid w:val="000C30AB"/>
    <w:rsid w:val="000E58F2"/>
    <w:rsid w:val="000F0C4A"/>
    <w:rsid w:val="00165EFA"/>
    <w:rsid w:val="001808C6"/>
    <w:rsid w:val="00183DC6"/>
    <w:rsid w:val="00183FFF"/>
    <w:rsid w:val="00187A69"/>
    <w:rsid w:val="001B36C8"/>
    <w:rsid w:val="001B65B9"/>
    <w:rsid w:val="001E74F5"/>
    <w:rsid w:val="002305DB"/>
    <w:rsid w:val="002F01DE"/>
    <w:rsid w:val="002F2A17"/>
    <w:rsid w:val="00315255"/>
    <w:rsid w:val="00330DD3"/>
    <w:rsid w:val="00333CA3"/>
    <w:rsid w:val="00366BB5"/>
    <w:rsid w:val="003B7407"/>
    <w:rsid w:val="00403ADD"/>
    <w:rsid w:val="00422B85"/>
    <w:rsid w:val="0044224A"/>
    <w:rsid w:val="004423D5"/>
    <w:rsid w:val="00443147"/>
    <w:rsid w:val="00455A8D"/>
    <w:rsid w:val="00472350"/>
    <w:rsid w:val="00474DFB"/>
    <w:rsid w:val="00475E07"/>
    <w:rsid w:val="004B53D2"/>
    <w:rsid w:val="004B5AE8"/>
    <w:rsid w:val="004C1531"/>
    <w:rsid w:val="004C48B7"/>
    <w:rsid w:val="004C5513"/>
    <w:rsid w:val="00526A0F"/>
    <w:rsid w:val="00556536"/>
    <w:rsid w:val="00585156"/>
    <w:rsid w:val="005B02CF"/>
    <w:rsid w:val="005E6790"/>
    <w:rsid w:val="005F644E"/>
    <w:rsid w:val="00642F3D"/>
    <w:rsid w:val="00674B81"/>
    <w:rsid w:val="00686C05"/>
    <w:rsid w:val="006F1374"/>
    <w:rsid w:val="006F48EB"/>
    <w:rsid w:val="00742F2F"/>
    <w:rsid w:val="00762837"/>
    <w:rsid w:val="00792136"/>
    <w:rsid w:val="007F0E73"/>
    <w:rsid w:val="00834D02"/>
    <w:rsid w:val="008A54F3"/>
    <w:rsid w:val="008C449B"/>
    <w:rsid w:val="008F5831"/>
    <w:rsid w:val="00927A3A"/>
    <w:rsid w:val="00953311"/>
    <w:rsid w:val="00990597"/>
    <w:rsid w:val="009C0AD4"/>
    <w:rsid w:val="00A0008C"/>
    <w:rsid w:val="00A23B45"/>
    <w:rsid w:val="00A64ED7"/>
    <w:rsid w:val="00AA5CCE"/>
    <w:rsid w:val="00AD6558"/>
    <w:rsid w:val="00B02924"/>
    <w:rsid w:val="00B07C9F"/>
    <w:rsid w:val="00B40514"/>
    <w:rsid w:val="00B727A3"/>
    <w:rsid w:val="00B7485D"/>
    <w:rsid w:val="00BD5281"/>
    <w:rsid w:val="00BE560F"/>
    <w:rsid w:val="00BF0D3B"/>
    <w:rsid w:val="00C23377"/>
    <w:rsid w:val="00D04C9B"/>
    <w:rsid w:val="00D11501"/>
    <w:rsid w:val="00D4376A"/>
    <w:rsid w:val="00D43871"/>
    <w:rsid w:val="00D51AF6"/>
    <w:rsid w:val="00D8073F"/>
    <w:rsid w:val="00D81472"/>
    <w:rsid w:val="00DF2EB5"/>
    <w:rsid w:val="00E25BF1"/>
    <w:rsid w:val="00E67A00"/>
    <w:rsid w:val="00EF1B90"/>
    <w:rsid w:val="00F2458F"/>
    <w:rsid w:val="00F2673D"/>
    <w:rsid w:val="00FD3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E5917"/>
  <w15:docId w15:val="{FEC59D20-5E39-4F71-BE1B-D5A3CBD4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23B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3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1823">
      <w:bodyDiv w:val="1"/>
      <w:marLeft w:val="0"/>
      <w:marRight w:val="0"/>
      <w:marTop w:val="0"/>
      <w:marBottom w:val="0"/>
      <w:divBdr>
        <w:top w:val="none" w:sz="0" w:space="0" w:color="auto"/>
        <w:left w:val="none" w:sz="0" w:space="0" w:color="auto"/>
        <w:bottom w:val="none" w:sz="0" w:space="0" w:color="auto"/>
        <w:right w:val="none" w:sz="0" w:space="0" w:color="auto"/>
      </w:divBdr>
    </w:div>
    <w:div w:id="1408112851">
      <w:bodyDiv w:val="1"/>
      <w:marLeft w:val="0"/>
      <w:marRight w:val="0"/>
      <w:marTop w:val="0"/>
      <w:marBottom w:val="0"/>
      <w:divBdr>
        <w:top w:val="none" w:sz="0" w:space="0" w:color="auto"/>
        <w:left w:val="none" w:sz="0" w:space="0" w:color="auto"/>
        <w:bottom w:val="none" w:sz="0" w:space="0" w:color="auto"/>
        <w:right w:val="none" w:sz="0" w:space="0" w:color="auto"/>
      </w:divBdr>
    </w:div>
    <w:div w:id="16661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1088</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16</cp:revision>
  <dcterms:created xsi:type="dcterms:W3CDTF">2018-11-12T05:48:00Z</dcterms:created>
  <dcterms:modified xsi:type="dcterms:W3CDTF">2022-04-04T07:35:00Z</dcterms:modified>
</cp:coreProperties>
</file>