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46" w:type="dxa"/>
        <w:tblInd w:w="-453" w:type="dxa"/>
        <w:tblCellMar>
          <w:left w:w="68" w:type="dxa"/>
          <w:right w:w="68" w:type="dxa"/>
        </w:tblCellMar>
        <w:tblLook w:val="0480" w:firstRow="0" w:lastRow="0" w:firstColumn="1" w:lastColumn="0" w:noHBand="0" w:noVBand="1"/>
      </w:tblPr>
      <w:tblGrid>
        <w:gridCol w:w="3262"/>
        <w:gridCol w:w="447"/>
        <w:gridCol w:w="6237"/>
      </w:tblGrid>
      <w:tr w:rsidR="00D4376A" w:rsidRPr="00C23377" w:rsidTr="00AD5F80">
        <w:trPr>
          <w:trHeight w:val="353"/>
        </w:trPr>
        <w:tc>
          <w:tcPr>
            <w:tcW w:w="9946"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AD5F80">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84" w:type="dxa"/>
            <w:gridSpan w:val="2"/>
          </w:tcPr>
          <w:p w:rsidR="00D4376A" w:rsidRPr="008745B1" w:rsidRDefault="005E3017" w:rsidP="00546F34">
            <w:pPr>
              <w:pStyle w:val="Default"/>
              <w:rPr>
                <w:sz w:val="22"/>
                <w:szCs w:val="22"/>
              </w:rPr>
            </w:pPr>
            <w:r w:rsidRPr="008745B1">
              <w:rPr>
                <w:sz w:val="22"/>
                <w:szCs w:val="22"/>
              </w:rPr>
              <w:t>Hukuk</w:t>
            </w:r>
            <w:r w:rsidR="00BB1567" w:rsidRPr="008745B1">
              <w:rPr>
                <w:sz w:val="22"/>
                <w:szCs w:val="22"/>
              </w:rPr>
              <w:t xml:space="preserve"> Fakültesi Dekanlığı/</w:t>
            </w:r>
            <w:r w:rsidR="00546F34">
              <w:rPr>
                <w:sz w:val="22"/>
                <w:szCs w:val="22"/>
              </w:rPr>
              <w:t>Öğrenci</w:t>
            </w:r>
            <w:r w:rsidR="00BB1567" w:rsidRPr="008745B1">
              <w:rPr>
                <w:sz w:val="22"/>
                <w:szCs w:val="22"/>
              </w:rPr>
              <w:t xml:space="preserve"> İşleri Birimi </w:t>
            </w:r>
          </w:p>
        </w:tc>
      </w:tr>
      <w:tr w:rsidR="00D4376A" w:rsidRPr="00C23377" w:rsidTr="00AD5F80">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84" w:type="dxa"/>
            <w:gridSpan w:val="2"/>
          </w:tcPr>
          <w:p w:rsidR="00D4376A" w:rsidRPr="008745B1" w:rsidRDefault="00054B87" w:rsidP="00716C1E">
            <w:pPr>
              <w:rPr>
                <w:rFonts w:ascii="Times New Roman" w:hAnsi="Times New Roman" w:cs="Times New Roman"/>
              </w:rPr>
            </w:pPr>
            <w:r w:rsidRPr="008745B1">
              <w:rPr>
                <w:rFonts w:ascii="Times New Roman" w:hAnsi="Times New Roman" w:cs="Times New Roman"/>
              </w:rPr>
              <w:t xml:space="preserve">[ </w:t>
            </w:r>
            <w:r w:rsidR="004C48B7" w:rsidRPr="008745B1">
              <w:rPr>
                <w:rFonts w:ascii="Times New Roman" w:hAnsi="Times New Roman" w:cs="Times New Roman"/>
              </w:rPr>
              <w:t>X</w:t>
            </w:r>
            <w:r w:rsidR="00187A69" w:rsidRPr="008745B1">
              <w:rPr>
                <w:rFonts w:ascii="Times New Roman" w:hAnsi="Times New Roman" w:cs="Times New Roman"/>
              </w:rPr>
              <w:t xml:space="preserve"> ] </w:t>
            </w:r>
            <w:r w:rsidR="00716C1E" w:rsidRPr="008745B1">
              <w:rPr>
                <w:rFonts w:ascii="Times New Roman" w:hAnsi="Times New Roman" w:cs="Times New Roman"/>
              </w:rPr>
              <w:t xml:space="preserve">Memur                         </w:t>
            </w:r>
            <w:r w:rsidR="00D04C9B" w:rsidRPr="008745B1">
              <w:rPr>
                <w:rFonts w:ascii="Times New Roman" w:hAnsi="Times New Roman" w:cs="Times New Roman"/>
              </w:rPr>
              <w:t>[</w:t>
            </w:r>
            <w:r w:rsidR="00AD5F80">
              <w:rPr>
                <w:rFonts w:ascii="Times New Roman" w:hAnsi="Times New Roman" w:cs="Times New Roman"/>
              </w:rPr>
              <w:t xml:space="preserve"> </w:t>
            </w:r>
            <w:r w:rsidR="00D04C9B" w:rsidRPr="008745B1">
              <w:rPr>
                <w:rFonts w:ascii="Times New Roman" w:hAnsi="Times New Roman" w:cs="Times New Roman"/>
              </w:rPr>
              <w:t xml:space="preserve"> ] S</w:t>
            </w:r>
            <w:r w:rsidR="00187A69" w:rsidRPr="008745B1">
              <w:rPr>
                <w:rFonts w:ascii="Times New Roman" w:hAnsi="Times New Roman" w:cs="Times New Roman"/>
              </w:rPr>
              <w:t>özleşmeli Personel</w:t>
            </w:r>
          </w:p>
        </w:tc>
      </w:tr>
      <w:tr w:rsidR="00D4376A" w:rsidRPr="00C23377" w:rsidTr="00AD5F80">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84" w:type="dxa"/>
            <w:gridSpan w:val="2"/>
          </w:tcPr>
          <w:p w:rsidR="00D4376A" w:rsidRPr="008745B1" w:rsidRDefault="00546F34">
            <w:pPr>
              <w:rPr>
                <w:rFonts w:ascii="Times New Roman" w:hAnsi="Times New Roman" w:cs="Times New Roman"/>
              </w:rPr>
            </w:pPr>
            <w:r>
              <w:rPr>
                <w:rFonts w:ascii="Times New Roman" w:hAnsi="Times New Roman" w:cs="Times New Roman"/>
              </w:rPr>
              <w:t>Şef</w:t>
            </w:r>
          </w:p>
        </w:tc>
      </w:tr>
      <w:tr w:rsidR="00D4376A" w:rsidRPr="00C23377" w:rsidTr="00AD5F80">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84" w:type="dxa"/>
            <w:gridSpan w:val="2"/>
          </w:tcPr>
          <w:p w:rsidR="00D4376A" w:rsidRPr="008745B1" w:rsidRDefault="00546F34">
            <w:pPr>
              <w:rPr>
                <w:rFonts w:ascii="Times New Roman" w:hAnsi="Times New Roman" w:cs="Times New Roman"/>
              </w:rPr>
            </w:pPr>
            <w:r>
              <w:rPr>
                <w:rFonts w:ascii="Times New Roman" w:hAnsi="Times New Roman" w:cs="Times New Roman"/>
              </w:rPr>
              <w:t>Şef</w:t>
            </w:r>
          </w:p>
        </w:tc>
      </w:tr>
      <w:tr w:rsidR="00D4376A" w:rsidRPr="00C23377" w:rsidTr="00AD5F80">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84" w:type="dxa"/>
            <w:gridSpan w:val="2"/>
          </w:tcPr>
          <w:p w:rsidR="00D4376A" w:rsidRPr="008745B1" w:rsidRDefault="00716C1E">
            <w:pPr>
              <w:rPr>
                <w:rFonts w:ascii="Times New Roman" w:hAnsi="Times New Roman" w:cs="Times New Roman"/>
              </w:rPr>
            </w:pPr>
            <w:r w:rsidRPr="008745B1">
              <w:rPr>
                <w:rFonts w:ascii="Times New Roman" w:hAnsi="Times New Roman" w:cs="Times New Roman"/>
              </w:rPr>
              <w:t>Genel İdare Hizmetleri</w:t>
            </w:r>
          </w:p>
        </w:tc>
      </w:tr>
      <w:tr w:rsidR="00D4376A" w:rsidRPr="00C23377" w:rsidTr="00AD5F80">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84" w:type="dxa"/>
            <w:gridSpan w:val="2"/>
          </w:tcPr>
          <w:p w:rsidR="00D4376A" w:rsidRPr="008745B1" w:rsidRDefault="00D4376A">
            <w:pPr>
              <w:rPr>
                <w:rFonts w:ascii="Times New Roman" w:hAnsi="Times New Roman" w:cs="Times New Roman"/>
              </w:rPr>
            </w:pPr>
          </w:p>
        </w:tc>
      </w:tr>
      <w:tr w:rsidR="00D4376A" w:rsidRPr="00C23377" w:rsidTr="00AD5F80">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84" w:type="dxa"/>
            <w:gridSpan w:val="2"/>
          </w:tcPr>
          <w:p w:rsidR="00D4376A" w:rsidRPr="008745B1" w:rsidRDefault="004C48B7">
            <w:pPr>
              <w:rPr>
                <w:rFonts w:ascii="Times New Roman" w:hAnsi="Times New Roman" w:cs="Times New Roman"/>
              </w:rPr>
            </w:pPr>
            <w:r w:rsidRPr="008745B1">
              <w:rPr>
                <w:rFonts w:ascii="Times New Roman" w:hAnsi="Times New Roman" w:cs="Times New Roman"/>
              </w:rPr>
              <w:t>Rektör</w:t>
            </w:r>
          </w:p>
        </w:tc>
      </w:tr>
      <w:tr w:rsidR="00D4376A" w:rsidRPr="00C23377" w:rsidTr="00AD5F80">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84" w:type="dxa"/>
            <w:gridSpan w:val="2"/>
            <w:vAlign w:val="center"/>
          </w:tcPr>
          <w:p w:rsidR="00D4376A" w:rsidRPr="008745B1" w:rsidRDefault="00716C1E" w:rsidP="00187A69">
            <w:pPr>
              <w:rPr>
                <w:rFonts w:ascii="Times New Roman" w:hAnsi="Times New Roman" w:cs="Times New Roman"/>
              </w:rPr>
            </w:pPr>
            <w:r w:rsidRPr="008745B1">
              <w:rPr>
                <w:rFonts w:ascii="Times New Roman" w:hAnsi="Times New Roman" w:cs="Times New Roman"/>
              </w:rPr>
              <w:t>Fakülte Sekreteri, Dekan</w:t>
            </w:r>
          </w:p>
        </w:tc>
      </w:tr>
      <w:tr w:rsidR="00D4376A" w:rsidRPr="00C23377" w:rsidTr="00AD5F80">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84" w:type="dxa"/>
            <w:gridSpan w:val="2"/>
          </w:tcPr>
          <w:p w:rsidR="00D4376A" w:rsidRPr="00C23377" w:rsidRDefault="00716C1E">
            <w:pPr>
              <w:rPr>
                <w:rFonts w:ascii="Times New Roman" w:hAnsi="Times New Roman" w:cs="Times New Roman"/>
              </w:rPr>
            </w:pPr>
            <w:r w:rsidRPr="00716C1E">
              <w:rPr>
                <w:rFonts w:ascii="Times New Roman" w:hAnsi="Times New Roman" w:cs="Times New Roman"/>
              </w:rPr>
              <w:t>Yok</w:t>
            </w:r>
          </w:p>
        </w:tc>
      </w:tr>
      <w:tr w:rsidR="00D4376A" w:rsidRPr="00C23377" w:rsidTr="00AD5F80">
        <w:tc>
          <w:tcPr>
            <w:tcW w:w="9946"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AD5F80">
        <w:tc>
          <w:tcPr>
            <w:tcW w:w="9946"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546F34" w:rsidRDefault="00546F34" w:rsidP="00546F34">
            <w:pPr>
              <w:ind w:left="708"/>
              <w:jc w:val="both"/>
              <w:rPr>
                <w:rFonts w:ascii="Times New Roman" w:hAnsi="Times New Roman" w:cs="Times New Roman"/>
              </w:rPr>
            </w:pPr>
            <w:r>
              <w:rPr>
                <w:rFonts w:ascii="Times New Roman" w:hAnsi="Times New Roman" w:cs="Times New Roman"/>
                <w:color w:val="000000"/>
              </w:rPr>
              <w:t xml:space="preserve">İlgili Mevzuat </w:t>
            </w:r>
            <w:r w:rsidRPr="00546F34">
              <w:rPr>
                <w:rFonts w:ascii="Times New Roman" w:hAnsi="Times New Roman" w:cs="Times New Roman"/>
                <w:color w:val="000000"/>
              </w:rPr>
              <w:t xml:space="preserve">çerçevesinde, Fakülte Öğrencilerinin Eğitim-Öğretim konularındaki iş ve işlemlerin mevcut kaynakların etkili ve verimli bir şekilde </w:t>
            </w:r>
            <w:r>
              <w:rPr>
                <w:rFonts w:ascii="Times New Roman" w:hAnsi="Times New Roman" w:cs="Times New Roman"/>
                <w:color w:val="000000"/>
              </w:rPr>
              <w:t xml:space="preserve">kullanılarak </w:t>
            </w:r>
            <w:r w:rsidRPr="00546F34">
              <w:rPr>
                <w:rFonts w:ascii="Times New Roman" w:hAnsi="Times New Roman" w:cs="Times New Roman"/>
                <w:color w:val="000000"/>
              </w:rPr>
              <w:t>yapılması</w:t>
            </w:r>
            <w:r>
              <w:rPr>
                <w:rFonts w:ascii="Times New Roman" w:hAnsi="Times New Roman" w:cs="Times New Roman"/>
                <w:color w:val="000000"/>
              </w:rPr>
              <w:t>.</w:t>
            </w:r>
          </w:p>
        </w:tc>
      </w:tr>
      <w:tr w:rsidR="00D4376A" w:rsidRPr="0057773E" w:rsidTr="00AD5F80">
        <w:tc>
          <w:tcPr>
            <w:tcW w:w="9946" w:type="dxa"/>
            <w:gridSpan w:val="3"/>
          </w:tcPr>
          <w:p w:rsidR="00D4376A" w:rsidRPr="0057773E" w:rsidRDefault="00D4376A" w:rsidP="00D4376A">
            <w:pPr>
              <w:rPr>
                <w:rFonts w:ascii="Times New Roman" w:hAnsi="Times New Roman" w:cs="Times New Roman"/>
                <w:b/>
              </w:rPr>
            </w:pPr>
          </w:p>
          <w:p w:rsidR="00D4376A" w:rsidRPr="0057773E" w:rsidRDefault="00D4376A" w:rsidP="00D4376A">
            <w:pPr>
              <w:ind w:left="313"/>
              <w:rPr>
                <w:rFonts w:ascii="Times New Roman" w:hAnsi="Times New Roman" w:cs="Times New Roman"/>
                <w:b/>
              </w:rPr>
            </w:pPr>
            <w:r w:rsidRPr="0057773E">
              <w:rPr>
                <w:rFonts w:ascii="Times New Roman" w:hAnsi="Times New Roman" w:cs="Times New Roman"/>
                <w:b/>
              </w:rPr>
              <w:t xml:space="preserve"> 2) GÖREV/İŞ YETKİ VE SORUMLULUKLAR</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Öğrencilerin kayıt sildirme, yatay geçiş, muafiyet vb. iş ve işlemleri yürütmek,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Öğrencilerin yatay geçiş ve muafiyet vb. gerekli belgelerini hazırlamak,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Öğrencilerle ilgili her türlü duyuruları yapmak,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Fakülteye</w:t>
            </w:r>
            <w:r w:rsidRPr="00D12635">
              <w:rPr>
                <w:sz w:val="22"/>
                <w:szCs w:val="22"/>
              </w:rPr>
              <w:t>/Enstitüye</w:t>
            </w:r>
            <w:r w:rsidRPr="00D12635">
              <w:rPr>
                <w:color w:val="000000"/>
                <w:sz w:val="22"/>
                <w:szCs w:val="22"/>
              </w:rPr>
              <w:t xml:space="preserve"> alınacak öğrenci kontenjanları ile ilgili yazışmaları yapmak,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Yönetmelik ve Yönergelerdeki değişikleri takip etmek ve gerekli duyuruları yapmak,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EBYS üzerinden birimiyle ilgili yazışmaları takip etmek ve sonuçlandırmak,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Mezun olmasına tek dersi kalan öğrencilerin dilekçeleri ve transkriptleri Bölüm Sekreterleri, birim öğrenci işleri ve öğrenci danışmanları tarafından incelemek ve durumu Bölüm Başkanlıklarına bildirmek. Sınava girecek öğrencilerin durumları bölüm kurulunda görüşülüp Dekanlığa bildirmek (Tek ders sınavı dönem sonlarında yapılır),</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 xml:space="preserve">Öğrenci sayıları ile ilgili istatistiki bilgileri sağlamak, </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 xml:space="preserve">Mazeretleri nedeni ile sınavlara girmeyen </w:t>
            </w:r>
            <w:proofErr w:type="gramStart"/>
            <w:r w:rsidRPr="00D12635">
              <w:rPr>
                <w:color w:val="000000"/>
                <w:sz w:val="22"/>
                <w:szCs w:val="22"/>
              </w:rPr>
              <w:t>öğrencilerin  listesi</w:t>
            </w:r>
            <w:proofErr w:type="gramEnd"/>
            <w:r w:rsidRPr="00D12635">
              <w:rPr>
                <w:color w:val="000000"/>
                <w:sz w:val="22"/>
                <w:szCs w:val="22"/>
              </w:rPr>
              <w:t xml:space="preserve"> ilgili  komisyona ve Fakülte Yönetim Kuruluna sunmak, alınan kararların  yazışmaları yapmak,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 xml:space="preserve">Disiplin soruşturması açılan öğrencilerin soruşturmacı görev yazışmalarını yapmak, soruşturma raporlarını takip etmek ve sonuçlarını Rektörlüğü bildirmek, cezaların </w:t>
            </w:r>
            <w:proofErr w:type="gramStart"/>
            <w:r w:rsidRPr="00D12635">
              <w:rPr>
                <w:color w:val="000000"/>
                <w:sz w:val="22"/>
                <w:szCs w:val="22"/>
              </w:rPr>
              <w:t>sicillerine  işle</w:t>
            </w:r>
            <w:r>
              <w:rPr>
                <w:color w:val="000000"/>
                <w:sz w:val="22"/>
                <w:szCs w:val="22"/>
              </w:rPr>
              <w:t>t</w:t>
            </w:r>
            <w:r w:rsidRPr="00D12635">
              <w:rPr>
                <w:color w:val="000000"/>
                <w:sz w:val="22"/>
                <w:szCs w:val="22"/>
              </w:rPr>
              <w:t>mek</w:t>
            </w:r>
            <w:proofErr w:type="gramEnd"/>
            <w:r w:rsidRPr="00D12635">
              <w:rPr>
                <w:color w:val="000000"/>
                <w:sz w:val="22"/>
                <w:szCs w:val="22"/>
              </w:rPr>
              <w:t>.</w:t>
            </w:r>
          </w:p>
          <w:p w:rsidR="00546F34"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Öğrencileri Akademik Danışmalarına yönlendirmek,</w:t>
            </w:r>
          </w:p>
          <w:p w:rsidR="00546F34" w:rsidRPr="00D12635" w:rsidRDefault="00546F34" w:rsidP="00546F34">
            <w:pPr>
              <w:pStyle w:val="ListeNumaras"/>
              <w:numPr>
                <w:ilvl w:val="0"/>
                <w:numId w:val="21"/>
              </w:numPr>
              <w:spacing w:before="0" w:after="0" w:line="276" w:lineRule="auto"/>
              <w:rPr>
                <w:color w:val="000000"/>
                <w:sz w:val="22"/>
                <w:szCs w:val="22"/>
              </w:rPr>
            </w:pPr>
            <w:r>
              <w:rPr>
                <w:color w:val="000000"/>
                <w:sz w:val="22"/>
                <w:szCs w:val="22"/>
              </w:rPr>
              <w:t xml:space="preserve">Öğrencilerin maddi hata dikeçlerini </w:t>
            </w:r>
            <w:proofErr w:type="gramStart"/>
            <w:r>
              <w:rPr>
                <w:color w:val="000000"/>
                <w:sz w:val="22"/>
                <w:szCs w:val="22"/>
              </w:rPr>
              <w:t>almak , Komisyona</w:t>
            </w:r>
            <w:proofErr w:type="gramEnd"/>
            <w:r>
              <w:rPr>
                <w:color w:val="000000"/>
                <w:sz w:val="22"/>
                <w:szCs w:val="22"/>
              </w:rPr>
              <w:t xml:space="preserve"> teslim etmek.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Ders Muafiyetlerinin takibini ve yazışmalarını yapmak.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Sınav evraklarının teslim edilmesi ve işlemlerini takip etmek,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 xml:space="preserve">Öğrencilerin not </w:t>
            </w:r>
            <w:proofErr w:type="gramStart"/>
            <w:r w:rsidRPr="00D12635">
              <w:rPr>
                <w:color w:val="000000"/>
                <w:sz w:val="22"/>
                <w:szCs w:val="22"/>
              </w:rPr>
              <w:t>iti</w:t>
            </w:r>
            <w:r>
              <w:rPr>
                <w:color w:val="000000"/>
                <w:sz w:val="22"/>
                <w:szCs w:val="22"/>
              </w:rPr>
              <w:t>razına  ilişkin</w:t>
            </w:r>
            <w:proofErr w:type="gramEnd"/>
            <w:r>
              <w:rPr>
                <w:color w:val="000000"/>
                <w:sz w:val="22"/>
                <w:szCs w:val="22"/>
              </w:rPr>
              <w:t xml:space="preserve"> yazışmaları yap</w:t>
            </w:r>
            <w:r w:rsidRPr="00D12635">
              <w:rPr>
                <w:color w:val="000000"/>
                <w:sz w:val="22"/>
                <w:szCs w:val="22"/>
              </w:rPr>
              <w:t>m</w:t>
            </w:r>
            <w:r>
              <w:rPr>
                <w:color w:val="000000"/>
                <w:sz w:val="22"/>
                <w:szCs w:val="22"/>
              </w:rPr>
              <w:t>a</w:t>
            </w:r>
            <w:r w:rsidRPr="00D12635">
              <w:rPr>
                <w:color w:val="000000"/>
                <w:sz w:val="22"/>
                <w:szCs w:val="22"/>
              </w:rPr>
              <w:t>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Akademik takvimde belirtilen sürelerde öğrencilerin kayıt yenileme ve derse yazılma ile ilgili sorunları çözmek,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 xml:space="preserve">Yeni kayıt, yatay, dikey geçiş/af kapsamıyla gelen öğrencilerin başvurularını kabul etme, bir önceki Yükseköğrenim kurumunda gördükleri dersleri ile ilgili alınan karar gereğince muaf sayılan derslerin takibini yapmak </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Öğrencilerle ilgili Öğrenci İşleri Daire Başkanlığı tarafından verilen görev, yetki ve sorumlulukların zamanında yerine getirmek,</w:t>
            </w:r>
          </w:p>
          <w:p w:rsidR="00546F34" w:rsidRPr="00D12635" w:rsidRDefault="00546F34" w:rsidP="00546F34">
            <w:pPr>
              <w:pStyle w:val="ListeNumaras"/>
              <w:numPr>
                <w:ilvl w:val="0"/>
                <w:numId w:val="21"/>
              </w:numPr>
              <w:spacing w:before="0" w:after="0" w:line="276" w:lineRule="auto"/>
              <w:rPr>
                <w:color w:val="000000"/>
                <w:sz w:val="22"/>
                <w:szCs w:val="22"/>
              </w:rPr>
            </w:pPr>
            <w:r w:rsidRPr="00D12635">
              <w:rPr>
                <w:color w:val="000000"/>
                <w:sz w:val="22"/>
                <w:szCs w:val="22"/>
              </w:rPr>
              <w:t>Biriminde oluşan tüm kalite kayıtlarının uygun şekilde dosyalanmasını, korunmasını ve bakımının yapılmasını sağlamak,</w:t>
            </w:r>
          </w:p>
          <w:p w:rsidR="00546F34" w:rsidRPr="00AD5F80" w:rsidRDefault="00546F34" w:rsidP="00546F34">
            <w:pPr>
              <w:pStyle w:val="ListeNumaras"/>
              <w:numPr>
                <w:ilvl w:val="0"/>
                <w:numId w:val="21"/>
              </w:numPr>
              <w:spacing w:before="0" w:after="0" w:line="276" w:lineRule="auto"/>
              <w:rPr>
                <w:color w:val="000000"/>
                <w:sz w:val="22"/>
                <w:szCs w:val="22"/>
              </w:rPr>
            </w:pPr>
            <w:r w:rsidRPr="00AD5F80">
              <w:rPr>
                <w:color w:val="000000"/>
                <w:sz w:val="22"/>
                <w:szCs w:val="22"/>
              </w:rPr>
              <w:lastRenderedPageBreak/>
              <w:t>Öğrenci ile ilgili gelen-giden evrakların kayıt-çoğalma-dağıtım-dosyalama-sevk-arşivleme hizmetinin yapılmasını sağlamak</w:t>
            </w:r>
          </w:p>
          <w:p w:rsidR="00546F34" w:rsidRPr="00AD5F80" w:rsidRDefault="00546F34" w:rsidP="00546F34">
            <w:pPr>
              <w:pStyle w:val="ListeNumaras"/>
              <w:numPr>
                <w:ilvl w:val="0"/>
                <w:numId w:val="21"/>
              </w:numPr>
              <w:spacing w:before="0" w:after="0" w:line="276" w:lineRule="auto"/>
              <w:rPr>
                <w:color w:val="000000"/>
                <w:sz w:val="22"/>
                <w:szCs w:val="22"/>
              </w:rPr>
            </w:pPr>
            <w:proofErr w:type="spellStart"/>
            <w:r w:rsidRPr="00AD5F80">
              <w:rPr>
                <w:color w:val="000000"/>
                <w:sz w:val="22"/>
                <w:szCs w:val="22"/>
              </w:rPr>
              <w:t>Erasmus</w:t>
            </w:r>
            <w:proofErr w:type="spellEnd"/>
            <w:r w:rsidRPr="00AD5F80">
              <w:rPr>
                <w:color w:val="000000"/>
                <w:sz w:val="22"/>
                <w:szCs w:val="22"/>
              </w:rPr>
              <w:t>, Farabi, Mevlana kapsamında gelen/giden öğrencilerin takibini yapmak</w:t>
            </w:r>
          </w:p>
          <w:p w:rsidR="00546F34" w:rsidRPr="00AD5F80" w:rsidRDefault="00546F34" w:rsidP="00546F34">
            <w:pPr>
              <w:pStyle w:val="ListeNumaras"/>
              <w:numPr>
                <w:ilvl w:val="0"/>
                <w:numId w:val="21"/>
              </w:numPr>
              <w:spacing w:before="0" w:after="0" w:line="276" w:lineRule="auto"/>
              <w:rPr>
                <w:color w:val="000000"/>
                <w:sz w:val="22"/>
                <w:szCs w:val="22"/>
              </w:rPr>
            </w:pPr>
            <w:r w:rsidRPr="00AD5F80">
              <w:rPr>
                <w:color w:val="000000"/>
                <w:sz w:val="22"/>
                <w:szCs w:val="22"/>
              </w:rPr>
              <w:t>Sınav sorularının (vize-final-bütünleme) baskı makinasında basılmasını sağlamak</w:t>
            </w:r>
          </w:p>
          <w:p w:rsidR="00546F34" w:rsidRPr="00AD5F80" w:rsidRDefault="00546F34" w:rsidP="00546F34">
            <w:pPr>
              <w:pStyle w:val="ListeNumaras"/>
              <w:numPr>
                <w:ilvl w:val="0"/>
                <w:numId w:val="21"/>
              </w:numPr>
              <w:spacing w:before="0" w:after="0" w:line="276" w:lineRule="auto"/>
              <w:rPr>
                <w:color w:val="000000"/>
                <w:sz w:val="22"/>
                <w:szCs w:val="22"/>
              </w:rPr>
            </w:pPr>
            <w:r w:rsidRPr="00AD5F80">
              <w:rPr>
                <w:color w:val="000000"/>
                <w:sz w:val="22"/>
                <w:szCs w:val="22"/>
              </w:rPr>
              <w:t>Sınav sonuçlarının optik okuyucuda okutulmasını yapmak</w:t>
            </w:r>
          </w:p>
          <w:p w:rsidR="00546F34" w:rsidRPr="00AD5F80" w:rsidRDefault="00546F34" w:rsidP="00546F34">
            <w:pPr>
              <w:pStyle w:val="ListeNumaras"/>
              <w:numPr>
                <w:ilvl w:val="0"/>
                <w:numId w:val="21"/>
              </w:numPr>
              <w:spacing w:before="0" w:after="0" w:line="276" w:lineRule="auto"/>
              <w:rPr>
                <w:color w:val="000000"/>
                <w:sz w:val="22"/>
                <w:szCs w:val="22"/>
              </w:rPr>
            </w:pPr>
            <w:r w:rsidRPr="00AD5F80">
              <w:rPr>
                <w:color w:val="000000"/>
                <w:sz w:val="22"/>
                <w:szCs w:val="22"/>
              </w:rPr>
              <w:t>Fakültenin stratejik planının hazırlanmasını sağlamak</w:t>
            </w:r>
          </w:p>
          <w:p w:rsidR="00546F34" w:rsidRPr="00AD5F80" w:rsidRDefault="00546F34" w:rsidP="00546F34">
            <w:pPr>
              <w:pStyle w:val="ListeNumaras"/>
              <w:numPr>
                <w:ilvl w:val="0"/>
                <w:numId w:val="21"/>
              </w:numPr>
              <w:spacing w:before="0" w:after="0" w:line="276" w:lineRule="auto"/>
              <w:rPr>
                <w:color w:val="000000"/>
                <w:sz w:val="22"/>
                <w:szCs w:val="22"/>
              </w:rPr>
            </w:pPr>
            <w:r w:rsidRPr="00AD5F80">
              <w:rPr>
                <w:color w:val="000000"/>
                <w:sz w:val="22"/>
                <w:szCs w:val="22"/>
              </w:rPr>
              <w:t>Akademik takvim, sınav tarihleri, muafiyet, yatay geçiş, üsten ders alma vb. gibi öğrencilerle ilgili her türlü duyuruyu web sayfasında ilan edilmesini sağlamak</w:t>
            </w:r>
          </w:p>
          <w:p w:rsidR="00546F34" w:rsidRPr="00AD5F80" w:rsidRDefault="00546F34" w:rsidP="00546F34">
            <w:pPr>
              <w:pStyle w:val="ListeNumaras"/>
              <w:numPr>
                <w:ilvl w:val="0"/>
                <w:numId w:val="21"/>
              </w:numPr>
              <w:spacing w:before="0" w:after="0" w:line="276" w:lineRule="auto"/>
              <w:rPr>
                <w:color w:val="000000"/>
                <w:sz w:val="22"/>
                <w:szCs w:val="22"/>
              </w:rPr>
            </w:pPr>
            <w:r w:rsidRPr="00AD5F80">
              <w:rPr>
                <w:color w:val="000000"/>
                <w:sz w:val="22"/>
                <w:szCs w:val="22"/>
              </w:rPr>
              <w:t xml:space="preserve">Gerekli olduğu takdirde birimi ile ilgili ISO 9000:2015 </w:t>
            </w:r>
            <w:proofErr w:type="gramStart"/>
            <w:r w:rsidRPr="00AD5F80">
              <w:rPr>
                <w:color w:val="000000"/>
                <w:sz w:val="22"/>
                <w:szCs w:val="22"/>
              </w:rPr>
              <w:t>prosedürlerinin</w:t>
            </w:r>
            <w:proofErr w:type="gramEnd"/>
            <w:r w:rsidRPr="00AD5F80">
              <w:rPr>
                <w:color w:val="000000"/>
                <w:sz w:val="22"/>
                <w:szCs w:val="22"/>
              </w:rPr>
              <w:t xml:space="preserve"> (içeriğinde talimat ve formların) değişikliği ve yeni doküman oluşturmak ile ilgili talepte bulunmak, bu dokümanların güncelliğini korumasını sağlamak,</w:t>
            </w:r>
          </w:p>
          <w:p w:rsidR="00546F34" w:rsidRPr="00AD5F80" w:rsidRDefault="00546F34" w:rsidP="00546F34">
            <w:pPr>
              <w:pStyle w:val="ListeNumaras"/>
              <w:numPr>
                <w:ilvl w:val="0"/>
                <w:numId w:val="21"/>
              </w:numPr>
              <w:spacing w:before="0" w:after="0" w:line="276" w:lineRule="auto"/>
              <w:rPr>
                <w:color w:val="000000"/>
                <w:sz w:val="22"/>
                <w:szCs w:val="22"/>
              </w:rPr>
            </w:pPr>
            <w:r w:rsidRPr="00AD5F80">
              <w:rPr>
                <w:color w:val="000000"/>
                <w:sz w:val="22"/>
                <w:szCs w:val="22"/>
              </w:rPr>
              <w:t xml:space="preserve">Tüm çalışmalarını görev tanımlarına ve ISO 9001:2015 Kalite Güvence Sistemi </w:t>
            </w:r>
            <w:proofErr w:type="gramStart"/>
            <w:r w:rsidRPr="00AD5F80">
              <w:rPr>
                <w:color w:val="000000"/>
                <w:sz w:val="22"/>
                <w:szCs w:val="22"/>
              </w:rPr>
              <w:t>prosedürlerine</w:t>
            </w:r>
            <w:proofErr w:type="gramEnd"/>
            <w:r w:rsidRPr="00AD5F80">
              <w:rPr>
                <w:color w:val="000000"/>
                <w:sz w:val="22"/>
                <w:szCs w:val="22"/>
              </w:rPr>
              <w:t xml:space="preserve"> uygun olarak gerçekleştirmek, birimindeki tüm personelin de aynı prensiple görev yapmasını sağlamak ve uygulamaları denetlemek,</w:t>
            </w:r>
          </w:p>
          <w:p w:rsidR="00546F34" w:rsidRPr="00AD5F80" w:rsidRDefault="00546F34" w:rsidP="00546F34">
            <w:pPr>
              <w:pStyle w:val="ListeNumaras"/>
              <w:numPr>
                <w:ilvl w:val="0"/>
                <w:numId w:val="21"/>
              </w:numPr>
              <w:spacing w:before="0" w:after="0" w:line="276" w:lineRule="auto"/>
              <w:rPr>
                <w:sz w:val="22"/>
                <w:szCs w:val="22"/>
              </w:rPr>
            </w:pPr>
            <w:r w:rsidRPr="00AD5F80">
              <w:rPr>
                <w:sz w:val="22"/>
                <w:szCs w:val="22"/>
              </w:rPr>
              <w:t>Görevlerinden dolayı amirlerine karşı sorumludur.</w:t>
            </w:r>
          </w:p>
          <w:p w:rsidR="000F5880" w:rsidRPr="00AD5F80" w:rsidRDefault="00546F34" w:rsidP="00AD5F80">
            <w:pPr>
              <w:numPr>
                <w:ilvl w:val="0"/>
                <w:numId w:val="21"/>
              </w:numPr>
              <w:autoSpaceDE w:val="0"/>
              <w:autoSpaceDN w:val="0"/>
              <w:adjustRightInd w:val="0"/>
              <w:spacing w:line="276" w:lineRule="auto"/>
              <w:contextualSpacing/>
              <w:jc w:val="both"/>
              <w:rPr>
                <w:rFonts w:ascii="Times New Roman" w:hAnsi="Times New Roman" w:cs="Times New Roman"/>
                <w:b/>
              </w:rPr>
            </w:pPr>
            <w:r w:rsidRPr="00AD5F80">
              <w:rPr>
                <w:rFonts w:ascii="Times New Roman" w:hAnsi="Times New Roman" w:cs="Times New Roman"/>
                <w:color w:val="000000"/>
                <w:shd w:val="clear" w:color="auto" w:fill="FFFFFF"/>
              </w:rPr>
              <w:t xml:space="preserve">İstihdam </w:t>
            </w:r>
            <w:proofErr w:type="gramStart"/>
            <w:r w:rsidRPr="00AD5F80">
              <w:rPr>
                <w:rFonts w:ascii="Times New Roman" w:hAnsi="Times New Roman" w:cs="Times New Roman"/>
                <w:color w:val="000000"/>
                <w:shd w:val="clear" w:color="auto" w:fill="FFFFFF"/>
              </w:rPr>
              <w:t>edildiği  birimin</w:t>
            </w:r>
            <w:proofErr w:type="gramEnd"/>
            <w:r w:rsidRPr="00AD5F80">
              <w:rPr>
                <w:rFonts w:ascii="Times New Roman" w:hAnsi="Times New Roman" w:cs="Times New Roman"/>
                <w:color w:val="000000"/>
                <w:shd w:val="clear" w:color="auto" w:fill="FFFFFF"/>
              </w:rPr>
              <w:t xml:space="preserve">  hizmet  alanına giren konularda kendisine verilen görevleri kanun, tüzük, yönetmelik ve diğer mevzuat  hükümleri çerçevesinde  yürütmek, </w:t>
            </w:r>
          </w:p>
        </w:tc>
      </w:tr>
      <w:tr w:rsidR="00D4376A" w:rsidRPr="00C23377" w:rsidTr="00AD5F80">
        <w:tc>
          <w:tcPr>
            <w:tcW w:w="9946"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AD5F80">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237"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AD5F80">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237" w:type="dxa"/>
          </w:tcPr>
          <w:p w:rsidR="00D4376A" w:rsidRPr="004244E2" w:rsidRDefault="004244E2" w:rsidP="004244E2">
            <w:pPr>
              <w:pStyle w:val="Default"/>
              <w:rPr>
                <w:sz w:val="20"/>
                <w:szCs w:val="20"/>
              </w:rPr>
            </w:pPr>
            <w:r>
              <w:rPr>
                <w:sz w:val="20"/>
                <w:szCs w:val="20"/>
              </w:rPr>
              <w:t xml:space="preserve">Var (Mali, Hukuksal) </w:t>
            </w:r>
          </w:p>
        </w:tc>
      </w:tr>
      <w:tr w:rsidR="00D4376A" w:rsidRPr="00C23377" w:rsidTr="00AD5F80">
        <w:tc>
          <w:tcPr>
            <w:tcW w:w="9946"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226C34">
            <w:pPr>
              <w:pStyle w:val="ListeParagraf"/>
              <w:ind w:left="360"/>
              <w:jc w:val="center"/>
              <w:rPr>
                <w:rFonts w:ascii="Times New Roman" w:hAnsi="Times New Roman" w:cs="Times New Roman"/>
              </w:rPr>
            </w:pPr>
            <w:r w:rsidRPr="00C23377">
              <w:rPr>
                <w:rFonts w:ascii="Times New Roman" w:hAnsi="Times New Roman" w:cs="Times New Roman"/>
              </w:rPr>
              <w:t>[  ] Fiziksel Çaba                   [</w:t>
            </w:r>
            <w:r w:rsidR="00AD5F80">
              <w:rPr>
                <w:rFonts w:ascii="Times New Roman" w:hAnsi="Times New Roman" w:cs="Times New Roman"/>
              </w:rPr>
              <w:t xml:space="preserve"> </w:t>
            </w:r>
            <w:r w:rsidRPr="00C23377">
              <w:rPr>
                <w:rFonts w:ascii="Times New Roman" w:hAnsi="Times New Roman" w:cs="Times New Roman"/>
              </w:rPr>
              <w:t>] Zihinsel Çaba                [</w:t>
            </w:r>
            <w:r w:rsidR="00AD5F80">
              <w:rPr>
                <w:rFonts w:ascii="Times New Roman" w:hAnsi="Times New Roman" w:cs="Times New Roman"/>
              </w:rPr>
              <w:t xml:space="preserve"> </w:t>
            </w:r>
            <w:r w:rsidR="00226C34">
              <w:rPr>
                <w:rFonts w:ascii="Times New Roman" w:hAnsi="Times New Roman" w:cs="Times New Roman"/>
              </w:rPr>
              <w:t>X</w:t>
            </w:r>
            <w:r w:rsidRPr="00C23377">
              <w:rPr>
                <w:rFonts w:ascii="Times New Roman" w:hAnsi="Times New Roman" w:cs="Times New Roman"/>
              </w:rPr>
              <w:t xml:space="preserve"> ] Her İkisi</w:t>
            </w:r>
            <w:r w:rsidR="000F5880">
              <w:rPr>
                <w:rFonts w:ascii="Times New Roman" w:hAnsi="Times New Roman" w:cs="Times New Roman"/>
              </w:rPr>
              <w:t xml:space="preserve"> </w:t>
            </w:r>
            <w:r w:rsidRPr="00C23377">
              <w:rPr>
                <w:rFonts w:ascii="Times New Roman" w:hAnsi="Times New Roman" w:cs="Times New Roman"/>
              </w:rPr>
              <w:t>de</w:t>
            </w:r>
          </w:p>
        </w:tc>
      </w:tr>
      <w:tr w:rsidR="00017C48" w:rsidRPr="00C23377" w:rsidTr="00AD5F80">
        <w:tc>
          <w:tcPr>
            <w:tcW w:w="9946"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AD5F80">
        <w:tc>
          <w:tcPr>
            <w:tcW w:w="9946"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F5880" w:rsidRPr="00606F98" w:rsidRDefault="00415674" w:rsidP="0057773E">
            <w:pPr>
              <w:ind w:left="720"/>
              <w:rPr>
                <w:rFonts w:ascii="Times New Roman" w:hAnsi="Times New Roman" w:cs="Times New Roman"/>
              </w:rPr>
            </w:pPr>
            <w:r w:rsidRPr="00606F98">
              <w:rPr>
                <w:rFonts w:ascii="Times New Roman" w:hAnsi="Times New Roman" w:cs="Times New Roman"/>
              </w:rPr>
              <w:t>En az ön lisans mezunu olmak.</w:t>
            </w:r>
          </w:p>
        </w:tc>
      </w:tr>
      <w:tr w:rsidR="00017C48" w:rsidRPr="00C23377" w:rsidTr="00AD5F80">
        <w:tc>
          <w:tcPr>
            <w:tcW w:w="9946"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F5880" w:rsidRPr="0057773E" w:rsidRDefault="004244E2" w:rsidP="0057773E">
            <w:pPr>
              <w:pStyle w:val="ListeParagraf"/>
              <w:rPr>
                <w:rFonts w:ascii="Times New Roman" w:hAnsi="Times New Roman" w:cs="Times New Roman"/>
              </w:rPr>
            </w:pPr>
            <w:r>
              <w:rPr>
                <w:rFonts w:ascii="Times New Roman" w:hAnsi="Times New Roman" w:cs="Times New Roman"/>
              </w:rPr>
              <w:t>Yok.</w:t>
            </w:r>
          </w:p>
        </w:tc>
      </w:tr>
      <w:tr w:rsidR="00017C48" w:rsidRPr="00C23377" w:rsidTr="00AD5F80">
        <w:tc>
          <w:tcPr>
            <w:tcW w:w="9946"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F5880" w:rsidRPr="0057773E" w:rsidRDefault="00415674" w:rsidP="0057773E">
            <w:pPr>
              <w:pStyle w:val="ListeParagraf"/>
              <w:rPr>
                <w:rFonts w:ascii="Times New Roman" w:hAnsi="Times New Roman" w:cs="Times New Roman"/>
              </w:rPr>
            </w:pPr>
            <w:r>
              <w:rPr>
                <w:rFonts w:ascii="Times New Roman" w:hAnsi="Times New Roman" w:cs="Times New Roman"/>
              </w:rPr>
              <w:t>Gerekmiyor.</w:t>
            </w:r>
          </w:p>
        </w:tc>
      </w:tr>
      <w:tr w:rsidR="00017C48" w:rsidRPr="00C23377" w:rsidTr="00AD5F80">
        <w:tc>
          <w:tcPr>
            <w:tcW w:w="9946"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F5880" w:rsidRPr="004244E2" w:rsidRDefault="004244E2" w:rsidP="0057773E">
            <w:pPr>
              <w:pStyle w:val="Default"/>
              <w:ind w:left="708"/>
              <w:jc w:val="both"/>
              <w:rPr>
                <w:sz w:val="22"/>
                <w:szCs w:val="22"/>
              </w:rPr>
            </w:pPr>
            <w:r w:rsidRPr="004244E2">
              <w:rPr>
                <w:sz w:val="22"/>
                <w:szCs w:val="22"/>
              </w:rPr>
              <w:t xml:space="preserve">Görevde yükselme sureti ile atanacaklar için, Yükseköğretim Üst Kuruluşları ile Yükseköğretim Kurumları Personel Görevde Yükselme Yönetmeliği hükümleri geçerlidir. </w:t>
            </w:r>
          </w:p>
        </w:tc>
      </w:tr>
      <w:tr w:rsidR="00017C48" w:rsidRPr="00C23377" w:rsidTr="00AD5F80">
        <w:tc>
          <w:tcPr>
            <w:tcW w:w="9946"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891D67">
              <w:rPr>
                <w:rFonts w:ascii="Times New Roman" w:hAnsi="Times New Roman" w:cs="Times New Roman"/>
                <w:b/>
              </w:rPr>
              <w:t>EL</w:t>
            </w:r>
            <w:r w:rsidRPr="00C23377">
              <w:rPr>
                <w:rFonts w:ascii="Times New Roman" w:hAnsi="Times New Roman" w:cs="Times New Roman"/>
                <w:b/>
              </w:rPr>
              <w:t xml:space="preserve"> NİTELİKLER</w:t>
            </w:r>
          </w:p>
          <w:p w:rsidR="00546F34" w:rsidRPr="00546F34" w:rsidRDefault="00546F34" w:rsidP="00546F34">
            <w:pPr>
              <w:pStyle w:val="ListeParagraf"/>
              <w:numPr>
                <w:ilvl w:val="0"/>
                <w:numId w:val="25"/>
              </w:numPr>
              <w:rPr>
                <w:rFonts w:ascii="Times New Roman" w:hAnsi="Times New Roman" w:cs="Times New Roman"/>
              </w:rPr>
            </w:pPr>
            <w:r w:rsidRPr="00546F34">
              <w:rPr>
                <w:rFonts w:ascii="Times New Roman" w:hAnsi="Times New Roman" w:cs="Times New Roman"/>
              </w:rPr>
              <w:t xml:space="preserve">Düzenli, </w:t>
            </w:r>
            <w:proofErr w:type="spellStart"/>
            <w:proofErr w:type="gramStart"/>
            <w:r w:rsidRPr="00546F34">
              <w:rPr>
                <w:rFonts w:ascii="Times New Roman" w:hAnsi="Times New Roman" w:cs="Times New Roman"/>
              </w:rPr>
              <w:t>displinli</w:t>
            </w:r>
            <w:proofErr w:type="spellEnd"/>
            <w:r w:rsidRPr="00546F34">
              <w:rPr>
                <w:rFonts w:ascii="Times New Roman" w:hAnsi="Times New Roman" w:cs="Times New Roman"/>
              </w:rPr>
              <w:t xml:space="preserve">  ve</w:t>
            </w:r>
            <w:proofErr w:type="gramEnd"/>
            <w:r w:rsidRPr="00546F34">
              <w:rPr>
                <w:rFonts w:ascii="Times New Roman" w:hAnsi="Times New Roman" w:cs="Times New Roman"/>
              </w:rPr>
              <w:t xml:space="preserve"> dikkatli.</w:t>
            </w:r>
          </w:p>
          <w:p w:rsidR="00546F34" w:rsidRPr="00546F34" w:rsidRDefault="00546F34" w:rsidP="00546F34">
            <w:pPr>
              <w:pStyle w:val="ListeParagraf"/>
              <w:numPr>
                <w:ilvl w:val="0"/>
                <w:numId w:val="25"/>
              </w:numPr>
              <w:rPr>
                <w:rFonts w:ascii="Times New Roman" w:hAnsi="Times New Roman" w:cs="Times New Roman"/>
              </w:rPr>
            </w:pPr>
            <w:r w:rsidRPr="00546F34">
              <w:rPr>
                <w:rFonts w:ascii="Times New Roman" w:hAnsi="Times New Roman" w:cs="Times New Roman"/>
              </w:rPr>
              <w:t>Yürütülen işlere ilişkin mevzuat hakkında bilgili.</w:t>
            </w:r>
          </w:p>
          <w:p w:rsidR="00546F34" w:rsidRPr="00546F34" w:rsidRDefault="00546F34" w:rsidP="00546F34">
            <w:pPr>
              <w:pStyle w:val="ListeParagraf"/>
              <w:numPr>
                <w:ilvl w:val="0"/>
                <w:numId w:val="25"/>
              </w:numPr>
              <w:rPr>
                <w:rFonts w:ascii="Times New Roman" w:hAnsi="Times New Roman" w:cs="Times New Roman"/>
              </w:rPr>
            </w:pPr>
            <w:r w:rsidRPr="00546F34">
              <w:rPr>
                <w:rFonts w:ascii="Times New Roman" w:hAnsi="Times New Roman" w:cs="Times New Roman"/>
              </w:rPr>
              <w:t>Değişim ve gelişmeye açık.</w:t>
            </w:r>
          </w:p>
          <w:p w:rsidR="00546F34" w:rsidRPr="00546F34" w:rsidRDefault="00546F34" w:rsidP="00546F34">
            <w:pPr>
              <w:pStyle w:val="ListeParagraf"/>
              <w:numPr>
                <w:ilvl w:val="0"/>
                <w:numId w:val="25"/>
              </w:numPr>
              <w:rPr>
                <w:rFonts w:ascii="Times New Roman" w:hAnsi="Times New Roman" w:cs="Times New Roman"/>
              </w:rPr>
            </w:pPr>
            <w:r w:rsidRPr="00546F34">
              <w:rPr>
                <w:rFonts w:ascii="Times New Roman" w:hAnsi="Times New Roman" w:cs="Times New Roman"/>
              </w:rPr>
              <w:t>Ekip çalışmasına uyumlu ve katılımcı.</w:t>
            </w:r>
          </w:p>
          <w:p w:rsidR="00546F34" w:rsidRPr="00546F34" w:rsidRDefault="00546F34" w:rsidP="00546F34">
            <w:pPr>
              <w:pStyle w:val="ListeParagraf"/>
              <w:numPr>
                <w:ilvl w:val="0"/>
                <w:numId w:val="25"/>
              </w:numPr>
              <w:rPr>
                <w:rFonts w:ascii="Times New Roman" w:hAnsi="Times New Roman" w:cs="Times New Roman"/>
              </w:rPr>
            </w:pPr>
            <w:r w:rsidRPr="00546F34">
              <w:rPr>
                <w:rFonts w:ascii="Times New Roman" w:hAnsi="Times New Roman" w:cs="Times New Roman"/>
              </w:rPr>
              <w:t>Güçlü hafıza</w:t>
            </w:r>
          </w:p>
          <w:p w:rsidR="00546F34" w:rsidRPr="00546F34" w:rsidRDefault="00546F34" w:rsidP="00546F34">
            <w:pPr>
              <w:pStyle w:val="ListeParagraf"/>
              <w:numPr>
                <w:ilvl w:val="0"/>
                <w:numId w:val="25"/>
              </w:numPr>
              <w:rPr>
                <w:rFonts w:ascii="Times New Roman" w:hAnsi="Times New Roman" w:cs="Times New Roman"/>
              </w:rPr>
            </w:pPr>
            <w:r w:rsidRPr="00546F34">
              <w:rPr>
                <w:rFonts w:ascii="Times New Roman" w:hAnsi="Times New Roman" w:cs="Times New Roman"/>
              </w:rPr>
              <w:t>Sabırlı olma</w:t>
            </w:r>
          </w:p>
          <w:p w:rsidR="00546F34" w:rsidRPr="00546F34" w:rsidRDefault="00546F34" w:rsidP="00546F34">
            <w:pPr>
              <w:pStyle w:val="ListeParagraf"/>
              <w:numPr>
                <w:ilvl w:val="0"/>
                <w:numId w:val="25"/>
              </w:numPr>
              <w:rPr>
                <w:rFonts w:ascii="Times New Roman" w:hAnsi="Times New Roman" w:cs="Times New Roman"/>
              </w:rPr>
            </w:pPr>
            <w:r w:rsidRPr="00546F34">
              <w:rPr>
                <w:rFonts w:ascii="Times New Roman" w:hAnsi="Times New Roman" w:cs="Times New Roman"/>
              </w:rPr>
              <w:t xml:space="preserve">Sorun </w:t>
            </w:r>
            <w:proofErr w:type="gramStart"/>
            <w:r w:rsidRPr="00546F34">
              <w:rPr>
                <w:rFonts w:ascii="Times New Roman" w:hAnsi="Times New Roman" w:cs="Times New Roman"/>
              </w:rPr>
              <w:t>çözebilme ,  sonuç</w:t>
            </w:r>
            <w:proofErr w:type="gramEnd"/>
            <w:r w:rsidRPr="00546F34">
              <w:rPr>
                <w:rFonts w:ascii="Times New Roman" w:hAnsi="Times New Roman" w:cs="Times New Roman"/>
              </w:rPr>
              <w:t xml:space="preserve"> odaklı olma</w:t>
            </w:r>
          </w:p>
          <w:p w:rsidR="000F5880" w:rsidRPr="00546F34" w:rsidRDefault="00546F34" w:rsidP="00546F34">
            <w:pPr>
              <w:pStyle w:val="ListeParagraf"/>
              <w:numPr>
                <w:ilvl w:val="0"/>
                <w:numId w:val="25"/>
              </w:numPr>
              <w:rPr>
                <w:rFonts w:ascii="Times New Roman" w:hAnsi="Times New Roman" w:cs="Times New Roman"/>
              </w:rPr>
            </w:pPr>
            <w:proofErr w:type="gramStart"/>
            <w:r w:rsidRPr="00546F34">
              <w:rPr>
                <w:rFonts w:ascii="Times New Roman" w:hAnsi="Times New Roman" w:cs="Times New Roman"/>
              </w:rPr>
              <w:t>Etkili  zaman</w:t>
            </w:r>
            <w:proofErr w:type="gramEnd"/>
            <w:r w:rsidRPr="00546F34">
              <w:rPr>
                <w:rFonts w:ascii="Times New Roman" w:hAnsi="Times New Roman" w:cs="Times New Roman"/>
              </w:rPr>
              <w:t xml:space="preserve"> yönetimi</w:t>
            </w:r>
          </w:p>
        </w:tc>
      </w:tr>
      <w:tr w:rsidR="00017C48" w:rsidRPr="00C23377" w:rsidTr="00AD5F80">
        <w:tc>
          <w:tcPr>
            <w:tcW w:w="9946" w:type="dxa"/>
            <w:gridSpan w:val="3"/>
          </w:tcPr>
          <w:p w:rsidR="00017C48" w:rsidRPr="00C23377" w:rsidRDefault="00891D67"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Default="00017C48" w:rsidP="00017C48">
            <w:pPr>
              <w:pStyle w:val="ListeParagraf"/>
              <w:rPr>
                <w:rFonts w:ascii="Times New Roman" w:hAnsi="Times New Roman" w:cs="Times New Roman"/>
              </w:rPr>
            </w:pPr>
          </w:p>
          <w:p w:rsidR="004B6280" w:rsidRDefault="004B6280" w:rsidP="004B6280">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4B6280" w:rsidRDefault="004B6280" w:rsidP="004B6280">
            <w:pPr>
              <w:pStyle w:val="ListeParagraf"/>
              <w:rPr>
                <w:rFonts w:ascii="Times New Roman" w:hAnsi="Times New Roman" w:cs="Times New Roman"/>
              </w:rPr>
            </w:pPr>
          </w:p>
          <w:p w:rsidR="004B6280" w:rsidRDefault="004B6280" w:rsidP="004B6280">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B6280" w:rsidRDefault="004B6280" w:rsidP="004B6280">
            <w:pPr>
              <w:pStyle w:val="ListeParagraf"/>
              <w:rPr>
                <w:rFonts w:ascii="Times New Roman" w:hAnsi="Times New Roman" w:cs="Times New Roman"/>
              </w:rPr>
            </w:pPr>
          </w:p>
          <w:p w:rsidR="00017C48" w:rsidRPr="00C23377" w:rsidRDefault="004B6280" w:rsidP="004B6280">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AD5F80">
        <w:tc>
          <w:tcPr>
            <w:tcW w:w="9946"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15674">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4B6280" w:rsidRDefault="004B6280" w:rsidP="004B6280">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4B6280" w:rsidRDefault="004B6280" w:rsidP="004B6280">
            <w:pPr>
              <w:pStyle w:val="ListeParagraf"/>
              <w:rPr>
                <w:rFonts w:ascii="Times New Roman" w:hAnsi="Times New Roman" w:cs="Times New Roman"/>
              </w:rPr>
            </w:pPr>
          </w:p>
          <w:p w:rsidR="004B6280" w:rsidRDefault="004B6280" w:rsidP="004B6280">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B6280" w:rsidRDefault="004B6280" w:rsidP="004B6280">
            <w:pPr>
              <w:pStyle w:val="ListeParagraf"/>
              <w:rPr>
                <w:rFonts w:ascii="Times New Roman" w:hAnsi="Times New Roman" w:cs="Times New Roman"/>
              </w:rPr>
            </w:pPr>
          </w:p>
          <w:p w:rsidR="00E67A00" w:rsidRPr="00C23377" w:rsidRDefault="004B6280" w:rsidP="004B6280">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5D" w:rsidRDefault="00524F5D" w:rsidP="00D4376A">
      <w:pPr>
        <w:spacing w:after="0" w:line="240" w:lineRule="auto"/>
      </w:pPr>
      <w:r>
        <w:separator/>
      </w:r>
    </w:p>
  </w:endnote>
  <w:endnote w:type="continuationSeparator" w:id="0">
    <w:p w:rsidR="00524F5D" w:rsidRDefault="00524F5D"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E4" w:rsidRDefault="002B70E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3B77B2"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24297D"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24297D"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24297D"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24297D"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24297D"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24297D"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E4" w:rsidRDefault="002B70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5D" w:rsidRDefault="00524F5D" w:rsidP="00D4376A">
      <w:pPr>
        <w:spacing w:after="0" w:line="240" w:lineRule="auto"/>
      </w:pPr>
      <w:r>
        <w:separator/>
      </w:r>
    </w:p>
  </w:footnote>
  <w:footnote w:type="continuationSeparator" w:id="0">
    <w:p w:rsidR="00524F5D" w:rsidRDefault="00524F5D"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E4" w:rsidRDefault="002B70E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8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100"/>
      <w:gridCol w:w="1744"/>
      <w:gridCol w:w="1578"/>
    </w:tblGrid>
    <w:tr w:rsidR="00D4376A" w:rsidTr="00AD5F80">
      <w:trPr>
        <w:cantSplit/>
        <w:trHeight w:val="300"/>
      </w:trPr>
      <w:tc>
        <w:tcPr>
          <w:tcW w:w="705" w:type="pct"/>
          <w:vMerge w:val="restart"/>
          <w:vAlign w:val="center"/>
          <w:hideMark/>
        </w:tcPr>
        <w:p w:rsidR="00D4376A" w:rsidRDefault="00AD5F80" w:rsidP="00D4376A">
          <w:pPr>
            <w:pStyle w:val="stBilgi"/>
            <w:jc w:val="center"/>
            <w:rPr>
              <w:rFonts w:ascii="Century Gothic" w:hAnsi="Century Gothic"/>
            </w:rPr>
          </w:pPr>
          <w:r>
            <w:rPr>
              <w:rFonts w:ascii="Century Gothic" w:hAnsi="Century Gothic"/>
            </w:rPr>
            <w:t xml:space="preserve">                                        </w:t>
          </w:r>
          <w:r w:rsidR="003B77B2">
            <w:rPr>
              <w:noProof/>
              <w:lang w:eastAsia="tr-TR"/>
            </w:rPr>
            <w:drawing>
              <wp:inline distT="0" distB="0" distL="0" distR="0" wp14:anchorId="22049DE4" wp14:editId="262A05CD">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585" w:type="pct"/>
          <w:vMerge w:val="restart"/>
          <w:vAlign w:val="center"/>
          <w:hideMark/>
        </w:tcPr>
        <w:p w:rsidR="00D4376A" w:rsidRPr="003A3611" w:rsidRDefault="00D4376A" w:rsidP="00D4376A">
          <w:pPr>
            <w:pStyle w:val="stBilgi"/>
            <w:jc w:val="center"/>
            <w:rPr>
              <w:rFonts w:ascii="Times New Roman" w:hAnsi="Times New Roman" w:cs="Times New Roman"/>
              <w:b/>
              <w:sz w:val="30"/>
              <w:szCs w:val="30"/>
            </w:rPr>
          </w:pPr>
          <w:r w:rsidRPr="003A3611">
            <w:rPr>
              <w:rFonts w:ascii="Times New Roman" w:hAnsi="Times New Roman" w:cs="Times New Roman"/>
              <w:b/>
              <w:sz w:val="30"/>
              <w:szCs w:val="30"/>
            </w:rPr>
            <w:t>DİCLE ÜNİVERSİTESİ</w:t>
          </w:r>
        </w:p>
        <w:p w:rsidR="003A3611" w:rsidRPr="003A3611" w:rsidRDefault="005E3017" w:rsidP="003A3611">
          <w:pPr>
            <w:pStyle w:val="stBilgi"/>
            <w:jc w:val="center"/>
            <w:rPr>
              <w:rFonts w:ascii="Times New Roman" w:hAnsi="Times New Roman" w:cs="Times New Roman"/>
              <w:b/>
              <w:sz w:val="30"/>
              <w:szCs w:val="30"/>
            </w:rPr>
          </w:pPr>
          <w:r>
            <w:rPr>
              <w:rFonts w:ascii="Times New Roman" w:hAnsi="Times New Roman" w:cs="Times New Roman"/>
              <w:b/>
              <w:sz w:val="30"/>
              <w:szCs w:val="30"/>
            </w:rPr>
            <w:t>HUKUK</w:t>
          </w:r>
          <w:r w:rsidR="00984F82">
            <w:rPr>
              <w:rFonts w:ascii="Times New Roman" w:hAnsi="Times New Roman" w:cs="Times New Roman"/>
              <w:b/>
              <w:sz w:val="30"/>
              <w:szCs w:val="30"/>
            </w:rPr>
            <w:t xml:space="preserve"> </w:t>
          </w:r>
          <w:r w:rsidR="003A3611" w:rsidRPr="003A3611">
            <w:rPr>
              <w:rFonts w:ascii="Times New Roman" w:hAnsi="Times New Roman" w:cs="Times New Roman"/>
              <w:b/>
              <w:sz w:val="30"/>
              <w:szCs w:val="30"/>
            </w:rPr>
            <w:t xml:space="preserve">FAKÜLTESİ </w:t>
          </w:r>
        </w:p>
        <w:p w:rsidR="003A3611" w:rsidRDefault="00546F34" w:rsidP="00D4376A">
          <w:pPr>
            <w:pStyle w:val="stBilgi"/>
            <w:jc w:val="center"/>
            <w:rPr>
              <w:rFonts w:ascii="Times New Roman" w:hAnsi="Times New Roman" w:cs="Times New Roman"/>
              <w:b/>
              <w:sz w:val="30"/>
              <w:szCs w:val="30"/>
            </w:rPr>
          </w:pPr>
          <w:r>
            <w:rPr>
              <w:rFonts w:ascii="Times New Roman" w:hAnsi="Times New Roman" w:cs="Times New Roman"/>
              <w:b/>
              <w:sz w:val="30"/>
              <w:szCs w:val="30"/>
            </w:rPr>
            <w:t>ÖĞRENCİ</w:t>
          </w:r>
          <w:r w:rsidR="003A3611" w:rsidRPr="003A3611">
            <w:rPr>
              <w:rFonts w:ascii="Times New Roman" w:hAnsi="Times New Roman" w:cs="Times New Roman"/>
              <w:b/>
              <w:sz w:val="30"/>
              <w:szCs w:val="30"/>
            </w:rPr>
            <w:t xml:space="preserve"> İŞLERİ BİRİMİ </w:t>
          </w:r>
        </w:p>
        <w:p w:rsidR="00D4376A" w:rsidRDefault="00546F34" w:rsidP="00D4376A">
          <w:pPr>
            <w:pStyle w:val="stBilgi"/>
            <w:jc w:val="center"/>
            <w:rPr>
              <w:rFonts w:ascii="Tahoma" w:hAnsi="Tahoma" w:cs="Tahoma"/>
              <w:b/>
              <w:bCs/>
              <w:sz w:val="40"/>
              <w:szCs w:val="40"/>
            </w:rPr>
          </w:pPr>
          <w:r>
            <w:rPr>
              <w:rFonts w:ascii="Times New Roman" w:hAnsi="Times New Roman" w:cs="Times New Roman"/>
              <w:b/>
              <w:sz w:val="30"/>
              <w:szCs w:val="30"/>
            </w:rPr>
            <w:t xml:space="preserve">ŞEF </w:t>
          </w:r>
          <w:r w:rsidR="00D4376A" w:rsidRPr="003A3611">
            <w:rPr>
              <w:rFonts w:ascii="Times New Roman" w:hAnsi="Times New Roman" w:cs="Times New Roman"/>
              <w:b/>
              <w:sz w:val="30"/>
              <w:szCs w:val="30"/>
            </w:rPr>
            <w:t>GÖREV TANIMI</w:t>
          </w:r>
          <w:r w:rsidR="00D4376A">
            <w:rPr>
              <w:rFonts w:ascii="Tahoma" w:hAnsi="Tahoma" w:cs="Tahoma"/>
              <w:b/>
              <w:bCs/>
              <w:sz w:val="40"/>
              <w:szCs w:val="40"/>
            </w:rPr>
            <w:t xml:space="preserve"> </w:t>
          </w:r>
        </w:p>
      </w:tc>
      <w:tc>
        <w:tcPr>
          <w:tcW w:w="89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813" w:type="pct"/>
          <w:vAlign w:val="center"/>
          <w:hideMark/>
        </w:tcPr>
        <w:p w:rsidR="00D4376A" w:rsidRPr="002F2A17" w:rsidRDefault="00ED3607" w:rsidP="00546F34">
          <w:pPr>
            <w:pStyle w:val="stBilgi"/>
            <w:rPr>
              <w:rFonts w:ascii="Times New Roman" w:hAnsi="Times New Roman" w:cs="Times New Roman"/>
              <w:b/>
              <w:bCs/>
              <w:sz w:val="18"/>
              <w:szCs w:val="18"/>
            </w:rPr>
          </w:pPr>
          <w:r>
            <w:rPr>
              <w:rFonts w:ascii="Times New Roman" w:hAnsi="Times New Roman" w:cs="Times New Roman"/>
              <w:b/>
              <w:bCs/>
              <w:sz w:val="18"/>
              <w:szCs w:val="18"/>
            </w:rPr>
            <w:t>HUK</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5A03B2">
            <w:rPr>
              <w:rFonts w:ascii="Times New Roman" w:hAnsi="Times New Roman" w:cs="Times New Roman"/>
              <w:b/>
              <w:bCs/>
              <w:sz w:val="18"/>
              <w:szCs w:val="18"/>
            </w:rPr>
            <w:t>1</w:t>
          </w:r>
          <w:r w:rsidR="00546F34">
            <w:rPr>
              <w:rFonts w:ascii="Times New Roman" w:hAnsi="Times New Roman" w:cs="Times New Roman"/>
              <w:b/>
              <w:bCs/>
              <w:sz w:val="18"/>
              <w:szCs w:val="18"/>
            </w:rPr>
            <w:t>3</w:t>
          </w:r>
        </w:p>
      </w:tc>
    </w:tr>
    <w:tr w:rsidR="00D4376A" w:rsidTr="00AD5F80">
      <w:trPr>
        <w:cantSplit/>
        <w:trHeight w:val="300"/>
      </w:trPr>
      <w:tc>
        <w:tcPr>
          <w:tcW w:w="705" w:type="pct"/>
          <w:vMerge/>
          <w:vAlign w:val="center"/>
          <w:hideMark/>
        </w:tcPr>
        <w:p w:rsidR="00D4376A" w:rsidRDefault="00D4376A" w:rsidP="00D4376A">
          <w:pPr>
            <w:rPr>
              <w:rFonts w:ascii="Century Gothic" w:hAnsi="Century Gothic"/>
            </w:rPr>
          </w:pPr>
        </w:p>
      </w:tc>
      <w:tc>
        <w:tcPr>
          <w:tcW w:w="2585" w:type="pct"/>
          <w:vMerge/>
          <w:vAlign w:val="center"/>
          <w:hideMark/>
        </w:tcPr>
        <w:p w:rsidR="00D4376A" w:rsidRDefault="00D4376A" w:rsidP="00D4376A">
          <w:pPr>
            <w:rPr>
              <w:rFonts w:ascii="Tahoma" w:hAnsi="Tahoma" w:cs="Tahoma"/>
              <w:b/>
              <w:bCs/>
              <w:sz w:val="40"/>
              <w:szCs w:val="40"/>
            </w:rPr>
          </w:pPr>
        </w:p>
      </w:tc>
      <w:tc>
        <w:tcPr>
          <w:tcW w:w="89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813" w:type="pct"/>
          <w:vAlign w:val="center"/>
          <w:hideMark/>
        </w:tcPr>
        <w:p w:rsidR="00D4376A" w:rsidRPr="002F2A17" w:rsidRDefault="00984F82"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AD5F80">
      <w:trPr>
        <w:cantSplit/>
        <w:trHeight w:val="300"/>
      </w:trPr>
      <w:tc>
        <w:tcPr>
          <w:tcW w:w="705" w:type="pct"/>
          <w:vMerge/>
          <w:vAlign w:val="center"/>
          <w:hideMark/>
        </w:tcPr>
        <w:p w:rsidR="00D4376A" w:rsidRDefault="00D4376A" w:rsidP="00D4376A">
          <w:pPr>
            <w:rPr>
              <w:rFonts w:ascii="Century Gothic" w:hAnsi="Century Gothic"/>
            </w:rPr>
          </w:pPr>
        </w:p>
      </w:tc>
      <w:tc>
        <w:tcPr>
          <w:tcW w:w="2585" w:type="pct"/>
          <w:vMerge/>
          <w:vAlign w:val="center"/>
          <w:hideMark/>
        </w:tcPr>
        <w:p w:rsidR="00D4376A" w:rsidRDefault="00D4376A" w:rsidP="00D4376A">
          <w:pPr>
            <w:rPr>
              <w:rFonts w:ascii="Tahoma" w:hAnsi="Tahoma" w:cs="Tahoma"/>
              <w:b/>
              <w:bCs/>
              <w:sz w:val="40"/>
              <w:szCs w:val="40"/>
            </w:rPr>
          </w:pPr>
        </w:p>
      </w:tc>
      <w:tc>
        <w:tcPr>
          <w:tcW w:w="89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813" w:type="pct"/>
          <w:vAlign w:val="center"/>
        </w:tcPr>
        <w:p w:rsidR="00D4376A" w:rsidRPr="002F2A17" w:rsidRDefault="003B77B2" w:rsidP="002B70E4">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AD5F80">
      <w:trPr>
        <w:cantSplit/>
        <w:trHeight w:val="300"/>
      </w:trPr>
      <w:tc>
        <w:tcPr>
          <w:tcW w:w="705" w:type="pct"/>
          <w:vMerge/>
          <w:vAlign w:val="center"/>
          <w:hideMark/>
        </w:tcPr>
        <w:p w:rsidR="00D4376A" w:rsidRDefault="00D4376A" w:rsidP="00D4376A">
          <w:pPr>
            <w:rPr>
              <w:rFonts w:ascii="Century Gothic" w:hAnsi="Century Gothic"/>
            </w:rPr>
          </w:pPr>
        </w:p>
      </w:tc>
      <w:tc>
        <w:tcPr>
          <w:tcW w:w="2585" w:type="pct"/>
          <w:vMerge/>
          <w:vAlign w:val="center"/>
          <w:hideMark/>
        </w:tcPr>
        <w:p w:rsidR="00D4376A" w:rsidRDefault="00D4376A" w:rsidP="00D4376A">
          <w:pPr>
            <w:rPr>
              <w:rFonts w:ascii="Tahoma" w:hAnsi="Tahoma" w:cs="Tahoma"/>
              <w:b/>
              <w:bCs/>
              <w:sz w:val="40"/>
              <w:szCs w:val="40"/>
            </w:rPr>
          </w:pPr>
        </w:p>
      </w:tc>
      <w:tc>
        <w:tcPr>
          <w:tcW w:w="89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813"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E4" w:rsidRDefault="002B70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FB6BD40"/>
    <w:lvl w:ilvl="0">
      <w:start w:val="13"/>
      <w:numFmt w:val="decimal"/>
      <w:pStyle w:val="ListeNumaras"/>
      <w:lvlText w:val="%1."/>
      <w:lvlJc w:val="left"/>
      <w:pPr>
        <w:tabs>
          <w:tab w:val="num" w:pos="360"/>
        </w:tabs>
        <w:ind w:left="360" w:hanging="360"/>
      </w:pPr>
    </w:lvl>
  </w:abstractNum>
  <w:abstractNum w:abstractNumId="1"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0625E63"/>
    <w:multiLevelType w:val="hybridMultilevel"/>
    <w:tmpl w:val="8C2E3B36"/>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37A7624"/>
    <w:lvl w:ilvl="0" w:tplc="041F0011">
      <w:start w:val="1"/>
      <w:numFmt w:val="decimal"/>
      <w:lvlText w:val="%1)"/>
      <w:lvlJc w:val="left"/>
      <w:pPr>
        <w:ind w:left="720" w:hanging="360"/>
      </w:pPr>
      <w:rPr>
        <w:rFonts w:hint="default"/>
      </w:rPr>
    </w:lvl>
    <w:lvl w:ilvl="1" w:tplc="CC5C7F30">
      <w:numFmt w:val="bullet"/>
      <w:lvlText w:val="•"/>
      <w:lvlJc w:val="left"/>
      <w:pPr>
        <w:ind w:left="1455" w:hanging="37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FC15F9"/>
    <w:multiLevelType w:val="hybridMultilevel"/>
    <w:tmpl w:val="3DBE0B2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589" w:hanging="360"/>
      </w:pPr>
      <w:rPr>
        <w:rFonts w:ascii="Courier New" w:hAnsi="Courier New" w:cs="Courier New" w:hint="default"/>
      </w:rPr>
    </w:lvl>
    <w:lvl w:ilvl="2" w:tplc="041F0005">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3E26C6"/>
    <w:multiLevelType w:val="hybridMultilevel"/>
    <w:tmpl w:val="750840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4D66D8"/>
    <w:multiLevelType w:val="hybridMultilevel"/>
    <w:tmpl w:val="502C06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CC68FA"/>
    <w:multiLevelType w:val="hybridMultilevel"/>
    <w:tmpl w:val="02BC6780"/>
    <w:lvl w:ilvl="0" w:tplc="041F0001">
      <w:start w:val="1"/>
      <w:numFmt w:val="bullet"/>
      <w:lvlText w:val=""/>
      <w:lvlJc w:val="left"/>
      <w:pPr>
        <w:ind w:left="1753" w:hanging="360"/>
      </w:pPr>
      <w:rPr>
        <w:rFonts w:ascii="Symbol" w:hAnsi="Symbol" w:hint="default"/>
      </w:rPr>
    </w:lvl>
    <w:lvl w:ilvl="1" w:tplc="041F0003" w:tentative="1">
      <w:start w:val="1"/>
      <w:numFmt w:val="bullet"/>
      <w:lvlText w:val="o"/>
      <w:lvlJc w:val="left"/>
      <w:pPr>
        <w:ind w:left="2473" w:hanging="360"/>
      </w:pPr>
      <w:rPr>
        <w:rFonts w:ascii="Courier New" w:hAnsi="Courier New" w:cs="Courier New" w:hint="default"/>
      </w:rPr>
    </w:lvl>
    <w:lvl w:ilvl="2" w:tplc="041F0005" w:tentative="1">
      <w:start w:val="1"/>
      <w:numFmt w:val="bullet"/>
      <w:lvlText w:val=""/>
      <w:lvlJc w:val="left"/>
      <w:pPr>
        <w:ind w:left="3193" w:hanging="360"/>
      </w:pPr>
      <w:rPr>
        <w:rFonts w:ascii="Wingdings" w:hAnsi="Wingdings" w:hint="default"/>
      </w:rPr>
    </w:lvl>
    <w:lvl w:ilvl="3" w:tplc="041F0001" w:tentative="1">
      <w:start w:val="1"/>
      <w:numFmt w:val="bullet"/>
      <w:lvlText w:val=""/>
      <w:lvlJc w:val="left"/>
      <w:pPr>
        <w:ind w:left="3913" w:hanging="360"/>
      </w:pPr>
      <w:rPr>
        <w:rFonts w:ascii="Symbol" w:hAnsi="Symbol" w:hint="default"/>
      </w:rPr>
    </w:lvl>
    <w:lvl w:ilvl="4" w:tplc="041F0003" w:tentative="1">
      <w:start w:val="1"/>
      <w:numFmt w:val="bullet"/>
      <w:lvlText w:val="o"/>
      <w:lvlJc w:val="left"/>
      <w:pPr>
        <w:ind w:left="4633" w:hanging="360"/>
      </w:pPr>
      <w:rPr>
        <w:rFonts w:ascii="Courier New" w:hAnsi="Courier New" w:cs="Courier New" w:hint="default"/>
      </w:rPr>
    </w:lvl>
    <w:lvl w:ilvl="5" w:tplc="041F0005" w:tentative="1">
      <w:start w:val="1"/>
      <w:numFmt w:val="bullet"/>
      <w:lvlText w:val=""/>
      <w:lvlJc w:val="left"/>
      <w:pPr>
        <w:ind w:left="5353" w:hanging="360"/>
      </w:pPr>
      <w:rPr>
        <w:rFonts w:ascii="Wingdings" w:hAnsi="Wingdings" w:hint="default"/>
      </w:rPr>
    </w:lvl>
    <w:lvl w:ilvl="6" w:tplc="041F0001" w:tentative="1">
      <w:start w:val="1"/>
      <w:numFmt w:val="bullet"/>
      <w:lvlText w:val=""/>
      <w:lvlJc w:val="left"/>
      <w:pPr>
        <w:ind w:left="6073" w:hanging="360"/>
      </w:pPr>
      <w:rPr>
        <w:rFonts w:ascii="Symbol" w:hAnsi="Symbol" w:hint="default"/>
      </w:rPr>
    </w:lvl>
    <w:lvl w:ilvl="7" w:tplc="041F0003" w:tentative="1">
      <w:start w:val="1"/>
      <w:numFmt w:val="bullet"/>
      <w:lvlText w:val="o"/>
      <w:lvlJc w:val="left"/>
      <w:pPr>
        <w:ind w:left="6793" w:hanging="360"/>
      </w:pPr>
      <w:rPr>
        <w:rFonts w:ascii="Courier New" w:hAnsi="Courier New" w:cs="Courier New" w:hint="default"/>
      </w:rPr>
    </w:lvl>
    <w:lvl w:ilvl="8" w:tplc="041F0005" w:tentative="1">
      <w:start w:val="1"/>
      <w:numFmt w:val="bullet"/>
      <w:lvlText w:val=""/>
      <w:lvlJc w:val="left"/>
      <w:pPr>
        <w:ind w:left="7513" w:hanging="360"/>
      </w:pPr>
      <w:rPr>
        <w:rFonts w:ascii="Wingdings" w:hAnsi="Wingdings" w:hint="default"/>
      </w:rPr>
    </w:lvl>
  </w:abstractNum>
  <w:abstractNum w:abstractNumId="13"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6" w15:restartNumberingAfterBreak="0">
    <w:nsid w:val="5CB674B6"/>
    <w:multiLevelType w:val="hybridMultilevel"/>
    <w:tmpl w:val="79588A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17"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2787001"/>
    <w:multiLevelType w:val="hybridMultilevel"/>
    <w:tmpl w:val="2B7E00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2"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13"/>
  </w:num>
  <w:num w:numId="4">
    <w:abstractNumId w:val="20"/>
  </w:num>
  <w:num w:numId="5">
    <w:abstractNumId w:val="3"/>
  </w:num>
  <w:num w:numId="6">
    <w:abstractNumId w:val="14"/>
  </w:num>
  <w:num w:numId="7">
    <w:abstractNumId w:val="4"/>
  </w:num>
  <w:num w:numId="8">
    <w:abstractNumId w:val="1"/>
  </w:num>
  <w:num w:numId="9">
    <w:abstractNumId w:val="9"/>
  </w:num>
  <w:num w:numId="10">
    <w:abstractNumId w:val="7"/>
  </w:num>
  <w:num w:numId="11">
    <w:abstractNumId w:val="22"/>
  </w:num>
  <w:num w:numId="12">
    <w:abstractNumId w:val="6"/>
  </w:num>
  <w:num w:numId="13">
    <w:abstractNumId w:val="15"/>
  </w:num>
  <w:num w:numId="14">
    <w:abstractNumId w:val="23"/>
  </w:num>
  <w:num w:numId="15">
    <w:abstractNumId w:val="21"/>
  </w:num>
  <w:num w:numId="16">
    <w:abstractNumId w:val="24"/>
  </w:num>
  <w:num w:numId="17">
    <w:abstractNumId w:val="18"/>
  </w:num>
  <w:num w:numId="18">
    <w:abstractNumId w:val="0"/>
    <w:lvlOverride w:ilvl="0">
      <w:startOverride w:val="1"/>
    </w:lvlOverride>
  </w:num>
  <w:num w:numId="19">
    <w:abstractNumId w:val="5"/>
  </w:num>
  <w:num w:numId="20">
    <w:abstractNumId w:val="16"/>
  </w:num>
  <w:num w:numId="21">
    <w:abstractNumId w:val="2"/>
  </w:num>
  <w:num w:numId="22">
    <w:abstractNumId w:val="12"/>
  </w:num>
  <w:num w:numId="23">
    <w:abstractNumId w:val="19"/>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54B87"/>
    <w:rsid w:val="00061F18"/>
    <w:rsid w:val="000628D2"/>
    <w:rsid w:val="000C30AB"/>
    <w:rsid w:val="000E58F2"/>
    <w:rsid w:val="000F0C4A"/>
    <w:rsid w:val="000F5880"/>
    <w:rsid w:val="00107AEA"/>
    <w:rsid w:val="001808C6"/>
    <w:rsid w:val="00187A69"/>
    <w:rsid w:val="001E74F5"/>
    <w:rsid w:val="00226C34"/>
    <w:rsid w:val="002305DB"/>
    <w:rsid w:val="0024297D"/>
    <w:rsid w:val="002B70E4"/>
    <w:rsid w:val="002C3079"/>
    <w:rsid w:val="002C4C74"/>
    <w:rsid w:val="002E3523"/>
    <w:rsid w:val="002F01DE"/>
    <w:rsid w:val="002F2A17"/>
    <w:rsid w:val="00333CA3"/>
    <w:rsid w:val="0036195C"/>
    <w:rsid w:val="00366BB5"/>
    <w:rsid w:val="0039243E"/>
    <w:rsid w:val="003A3611"/>
    <w:rsid w:val="003B77B2"/>
    <w:rsid w:val="00415674"/>
    <w:rsid w:val="00420DA6"/>
    <w:rsid w:val="004244E2"/>
    <w:rsid w:val="004423D5"/>
    <w:rsid w:val="00455A8D"/>
    <w:rsid w:val="00461D6C"/>
    <w:rsid w:val="00474DFB"/>
    <w:rsid w:val="00475E07"/>
    <w:rsid w:val="004B5AE8"/>
    <w:rsid w:val="004B6280"/>
    <w:rsid w:val="004C2DDD"/>
    <w:rsid w:val="004C48B7"/>
    <w:rsid w:val="004C5513"/>
    <w:rsid w:val="00524F5D"/>
    <w:rsid w:val="00526A0F"/>
    <w:rsid w:val="00546F34"/>
    <w:rsid w:val="00556536"/>
    <w:rsid w:val="0057773E"/>
    <w:rsid w:val="00592CA2"/>
    <w:rsid w:val="005A03B2"/>
    <w:rsid w:val="005E3017"/>
    <w:rsid w:val="005F644E"/>
    <w:rsid w:val="00606F98"/>
    <w:rsid w:val="00674B81"/>
    <w:rsid w:val="00686C05"/>
    <w:rsid w:val="00716C1E"/>
    <w:rsid w:val="00737D77"/>
    <w:rsid w:val="00762837"/>
    <w:rsid w:val="007C5028"/>
    <w:rsid w:val="00800376"/>
    <w:rsid w:val="00834D02"/>
    <w:rsid w:val="008745B1"/>
    <w:rsid w:val="00891D67"/>
    <w:rsid w:val="008A54F3"/>
    <w:rsid w:val="008C449B"/>
    <w:rsid w:val="00927A3A"/>
    <w:rsid w:val="0094533D"/>
    <w:rsid w:val="00953311"/>
    <w:rsid w:val="00984F82"/>
    <w:rsid w:val="00A0008C"/>
    <w:rsid w:val="00A64ED7"/>
    <w:rsid w:val="00AD5F80"/>
    <w:rsid w:val="00B02924"/>
    <w:rsid w:val="00B07C9F"/>
    <w:rsid w:val="00B1710F"/>
    <w:rsid w:val="00B249E0"/>
    <w:rsid w:val="00B366A3"/>
    <w:rsid w:val="00B40514"/>
    <w:rsid w:val="00BB1567"/>
    <w:rsid w:val="00BD5281"/>
    <w:rsid w:val="00BE560F"/>
    <w:rsid w:val="00C23377"/>
    <w:rsid w:val="00D04C9B"/>
    <w:rsid w:val="00D11501"/>
    <w:rsid w:val="00D4376A"/>
    <w:rsid w:val="00DE7C84"/>
    <w:rsid w:val="00E67A00"/>
    <w:rsid w:val="00ED3607"/>
    <w:rsid w:val="00EF1B90"/>
    <w:rsid w:val="00F203A2"/>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CBF24"/>
  <w15:docId w15:val="{1A77C656-283A-4CB5-BD1E-51E71840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84F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F82"/>
    <w:rPr>
      <w:rFonts w:ascii="Tahoma" w:hAnsi="Tahoma" w:cs="Tahoma"/>
      <w:sz w:val="16"/>
      <w:szCs w:val="16"/>
    </w:rPr>
  </w:style>
  <w:style w:type="paragraph" w:styleId="ListeNumaras">
    <w:name w:val="List Number"/>
    <w:basedOn w:val="Normal"/>
    <w:uiPriority w:val="99"/>
    <w:unhideWhenUsed/>
    <w:rsid w:val="005E3017"/>
    <w:pPr>
      <w:numPr>
        <w:numId w:val="18"/>
      </w:numPr>
      <w:spacing w:before="60" w:after="60" w:line="240" w:lineRule="auto"/>
      <w:jc w:val="both"/>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0885">
      <w:bodyDiv w:val="1"/>
      <w:marLeft w:val="0"/>
      <w:marRight w:val="0"/>
      <w:marTop w:val="0"/>
      <w:marBottom w:val="0"/>
      <w:divBdr>
        <w:top w:val="none" w:sz="0" w:space="0" w:color="auto"/>
        <w:left w:val="none" w:sz="0" w:space="0" w:color="auto"/>
        <w:bottom w:val="none" w:sz="0" w:space="0" w:color="auto"/>
        <w:right w:val="none" w:sz="0" w:space="0" w:color="auto"/>
      </w:divBdr>
    </w:div>
    <w:div w:id="794566419">
      <w:bodyDiv w:val="1"/>
      <w:marLeft w:val="0"/>
      <w:marRight w:val="0"/>
      <w:marTop w:val="0"/>
      <w:marBottom w:val="0"/>
      <w:divBdr>
        <w:top w:val="none" w:sz="0" w:space="0" w:color="auto"/>
        <w:left w:val="none" w:sz="0" w:space="0" w:color="auto"/>
        <w:bottom w:val="none" w:sz="0" w:space="0" w:color="auto"/>
        <w:right w:val="none" w:sz="0" w:space="0" w:color="auto"/>
      </w:divBdr>
    </w:div>
    <w:div w:id="1057240760">
      <w:bodyDiv w:val="1"/>
      <w:marLeft w:val="0"/>
      <w:marRight w:val="0"/>
      <w:marTop w:val="0"/>
      <w:marBottom w:val="0"/>
      <w:divBdr>
        <w:top w:val="none" w:sz="0" w:space="0" w:color="auto"/>
        <w:left w:val="none" w:sz="0" w:space="0" w:color="auto"/>
        <w:bottom w:val="none" w:sz="0" w:space="0" w:color="auto"/>
        <w:right w:val="none" w:sz="0" w:space="0" w:color="auto"/>
      </w:divBdr>
    </w:div>
    <w:div w:id="13066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4432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5</cp:revision>
  <dcterms:created xsi:type="dcterms:W3CDTF">2018-12-03T10:08:00Z</dcterms:created>
  <dcterms:modified xsi:type="dcterms:W3CDTF">2022-04-04T07:42:00Z</dcterms:modified>
</cp:coreProperties>
</file>