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E0" w:rsidRDefault="007103E0" w:rsidP="00E72FF2">
      <w:pPr>
        <w:jc w:val="center"/>
        <w:rPr>
          <w:b/>
          <w:sz w:val="32"/>
          <w:szCs w:val="32"/>
        </w:rPr>
      </w:pPr>
    </w:p>
    <w:p w:rsidR="00E72FF2" w:rsidRPr="00D804A8" w:rsidRDefault="00E72FF2" w:rsidP="007670EB">
      <w:pPr>
        <w:spacing w:before="240" w:line="360" w:lineRule="auto"/>
        <w:jc w:val="center"/>
        <w:rPr>
          <w:b/>
          <w:sz w:val="26"/>
          <w:szCs w:val="26"/>
        </w:rPr>
      </w:pPr>
      <w:r w:rsidRPr="00D804A8">
        <w:rPr>
          <w:b/>
          <w:sz w:val="26"/>
          <w:szCs w:val="26"/>
        </w:rPr>
        <w:t>AKADEMİK PERSONEL</w:t>
      </w:r>
      <w:r w:rsidR="007670EB" w:rsidRPr="00D804A8">
        <w:rPr>
          <w:b/>
          <w:sz w:val="26"/>
          <w:szCs w:val="26"/>
        </w:rPr>
        <w:t xml:space="preserve"> MEMNUNİYETİ</w:t>
      </w:r>
      <w:r w:rsidRPr="00D804A8">
        <w:rPr>
          <w:b/>
          <w:sz w:val="26"/>
          <w:szCs w:val="26"/>
        </w:rPr>
        <w:t xml:space="preserve"> ANKET SONUÇLARI</w:t>
      </w:r>
    </w:p>
    <w:tbl>
      <w:tblPr>
        <w:tblStyle w:val="TabloKlavuzu"/>
        <w:tblW w:w="0" w:type="auto"/>
        <w:tblLook w:val="04A0"/>
      </w:tblPr>
      <w:tblGrid>
        <w:gridCol w:w="1834"/>
        <w:gridCol w:w="1835"/>
        <w:gridCol w:w="1835"/>
        <w:gridCol w:w="1835"/>
        <w:gridCol w:w="2125"/>
      </w:tblGrid>
      <w:tr w:rsidR="00945B5A" w:rsidTr="008A0C36">
        <w:trPr>
          <w:trHeight w:hRule="exact" w:val="340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5B5A" w:rsidRPr="003461B0" w:rsidRDefault="00945B5A" w:rsidP="00945B5A">
            <w:pPr>
              <w:jc w:val="center"/>
              <w:rPr>
                <w:b/>
              </w:rPr>
            </w:pPr>
            <w:r w:rsidRPr="003461B0">
              <w:rPr>
                <w:b/>
              </w:rPr>
              <w:t>ÇOK YÜKSEK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5B5A" w:rsidRPr="003461B0" w:rsidRDefault="00945B5A" w:rsidP="00945B5A">
            <w:pPr>
              <w:jc w:val="center"/>
              <w:rPr>
                <w:b/>
              </w:rPr>
            </w:pPr>
            <w:r w:rsidRPr="003461B0">
              <w:rPr>
                <w:b/>
              </w:rPr>
              <w:t>YÜKSEK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5B5A" w:rsidRPr="003461B0" w:rsidRDefault="00945B5A" w:rsidP="00945B5A">
            <w:pPr>
              <w:jc w:val="center"/>
              <w:rPr>
                <w:b/>
              </w:rPr>
            </w:pPr>
            <w:r w:rsidRPr="003461B0">
              <w:rPr>
                <w:b/>
              </w:rPr>
              <w:t>ORTA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5B5A" w:rsidRPr="003461B0" w:rsidRDefault="00945B5A" w:rsidP="00945B5A">
            <w:pPr>
              <w:jc w:val="center"/>
              <w:rPr>
                <w:b/>
              </w:rPr>
            </w:pPr>
            <w:r w:rsidRPr="003461B0">
              <w:rPr>
                <w:b/>
              </w:rPr>
              <w:t>DÜŞÜK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5B5A" w:rsidRPr="003461B0" w:rsidRDefault="00945B5A" w:rsidP="00945B5A">
            <w:pPr>
              <w:jc w:val="center"/>
              <w:rPr>
                <w:b/>
              </w:rPr>
            </w:pPr>
            <w:r w:rsidRPr="003461B0">
              <w:rPr>
                <w:b/>
              </w:rPr>
              <w:t>ÇOK DÜŞÜK</w:t>
            </w:r>
          </w:p>
        </w:tc>
      </w:tr>
      <w:tr w:rsidR="00945B5A" w:rsidTr="00772B48">
        <w:tc>
          <w:tcPr>
            <w:tcW w:w="1834" w:type="dxa"/>
            <w:shd w:val="clear" w:color="auto" w:fill="00B0F0"/>
          </w:tcPr>
          <w:p w:rsidR="00945B5A" w:rsidRDefault="00945B5A" w:rsidP="00945B5A">
            <w:pPr>
              <w:jc w:val="center"/>
            </w:pPr>
            <w:r>
              <w:t>4,21 – 5,00</w:t>
            </w:r>
          </w:p>
        </w:tc>
        <w:tc>
          <w:tcPr>
            <w:tcW w:w="1835" w:type="dxa"/>
            <w:shd w:val="clear" w:color="auto" w:fill="92D050"/>
          </w:tcPr>
          <w:p w:rsidR="00945B5A" w:rsidRDefault="00945B5A" w:rsidP="00945B5A">
            <w:pPr>
              <w:jc w:val="center"/>
            </w:pPr>
            <w:r>
              <w:t>3,41 – 4,20</w:t>
            </w:r>
          </w:p>
        </w:tc>
        <w:tc>
          <w:tcPr>
            <w:tcW w:w="1835" w:type="dxa"/>
            <w:shd w:val="clear" w:color="auto" w:fill="FFFF00"/>
          </w:tcPr>
          <w:p w:rsidR="00945B5A" w:rsidRDefault="00945B5A" w:rsidP="00945B5A">
            <w:pPr>
              <w:jc w:val="center"/>
            </w:pPr>
            <w:r>
              <w:t>2,61 – 3,40</w:t>
            </w:r>
          </w:p>
        </w:tc>
        <w:tc>
          <w:tcPr>
            <w:tcW w:w="1835" w:type="dxa"/>
            <w:shd w:val="clear" w:color="auto" w:fill="FFC000"/>
          </w:tcPr>
          <w:p w:rsidR="00945B5A" w:rsidRDefault="00945B5A" w:rsidP="00945B5A">
            <w:pPr>
              <w:jc w:val="center"/>
            </w:pPr>
            <w:r>
              <w:t>1,81 – 2,60</w:t>
            </w:r>
          </w:p>
        </w:tc>
        <w:tc>
          <w:tcPr>
            <w:tcW w:w="2125" w:type="dxa"/>
            <w:shd w:val="clear" w:color="auto" w:fill="C00000"/>
          </w:tcPr>
          <w:p w:rsidR="00945B5A" w:rsidRDefault="00945B5A" w:rsidP="00945B5A">
            <w:pPr>
              <w:jc w:val="center"/>
            </w:pPr>
            <w:r>
              <w:t>1,00 – 1,80</w:t>
            </w:r>
          </w:p>
        </w:tc>
      </w:tr>
    </w:tbl>
    <w:p w:rsidR="007670EB" w:rsidRDefault="007670EB" w:rsidP="003461B0"/>
    <w:tbl>
      <w:tblPr>
        <w:tblStyle w:val="TabloKlavuzu"/>
        <w:tblW w:w="0" w:type="auto"/>
        <w:tblLook w:val="04A0"/>
      </w:tblPr>
      <w:tblGrid>
        <w:gridCol w:w="6912"/>
        <w:gridCol w:w="1134"/>
        <w:gridCol w:w="1389"/>
      </w:tblGrid>
      <w:tr w:rsidR="004F5982" w:rsidRPr="004F5982" w:rsidTr="008A0C36">
        <w:trPr>
          <w:trHeight w:val="315"/>
        </w:trPr>
        <w:tc>
          <w:tcPr>
            <w:tcW w:w="6912" w:type="dxa"/>
            <w:noWrap/>
            <w:vAlign w:val="center"/>
            <w:hideMark/>
          </w:tcPr>
          <w:p w:rsidR="004F5982" w:rsidRPr="004F5982" w:rsidRDefault="00945B5A" w:rsidP="00945B5A">
            <w:pPr>
              <w:jc w:val="center"/>
              <w:rPr>
                <w:b/>
                <w:bCs/>
              </w:rPr>
            </w:pPr>
            <w:r w:rsidRPr="004F5982">
              <w:rPr>
                <w:b/>
                <w:bCs/>
              </w:rPr>
              <w:t>Maddeler</w:t>
            </w:r>
          </w:p>
        </w:tc>
        <w:tc>
          <w:tcPr>
            <w:tcW w:w="1134" w:type="dxa"/>
            <w:noWrap/>
            <w:vAlign w:val="center"/>
            <w:hideMark/>
          </w:tcPr>
          <w:p w:rsidR="004F5982" w:rsidRPr="004F5982" w:rsidRDefault="007103E0" w:rsidP="00945B5A">
            <w:pPr>
              <w:jc w:val="center"/>
              <w:rPr>
                <w:b/>
                <w:bCs/>
              </w:rPr>
            </w:pPr>
            <w:r w:rsidRPr="004F5982">
              <w:rPr>
                <w:b/>
                <w:bCs/>
              </w:rPr>
              <w:t>Ort</w:t>
            </w:r>
            <w:r>
              <w:rPr>
                <w:b/>
                <w:bCs/>
              </w:rPr>
              <w:t>alama</w:t>
            </w:r>
          </w:p>
        </w:tc>
        <w:tc>
          <w:tcPr>
            <w:tcW w:w="1389" w:type="dxa"/>
            <w:noWrap/>
            <w:vAlign w:val="center"/>
            <w:hideMark/>
          </w:tcPr>
          <w:p w:rsidR="004F5982" w:rsidRPr="004F5982" w:rsidRDefault="00D260C9" w:rsidP="00945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Memnun.</w:t>
            </w:r>
            <w:r w:rsidR="007103E0" w:rsidRPr="004F5982">
              <w:rPr>
                <w:b/>
                <w:bCs/>
              </w:rPr>
              <w:t xml:space="preserve"> Düzeyi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Üniversitenin akademik yükseltme ölçütlerinden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3,21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7A1121" w:rsidP="007670EB">
            <w:pPr>
              <w:jc w:val="center"/>
            </w:pPr>
            <w:r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Fikirlerin rahatça ifade edilebilmesinden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3,29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İdari görevlendirmelerinin yetkinlikler çerçevesinde yapılıyor olmasından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2,78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İdari ve destek personelinin görev ve sorumluluklarını zamanında yerine getirmesinden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3,19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Kurum içi iletişimin yeteri düzeyde sağlanabiliyor olmasından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3,42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Birim yöneticilerinin, iş kalitesini arttırmaya yönelik çalışmalarından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3,03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Araştırma için gereken izinlerin alınma sürecinden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3,37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Araştırma laboratuvarlarının fiziksel koşullarından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2,75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Araştırma laboratuvarlarının yeterli sayıda bulunmasından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3,02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Araştırma laboratuvarlarında bulunan teknik personel sayısından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2,43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Düşük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Bilgi kaynağının (e-kütüphane, kütüphane vb.) istenen düzeyde olmasından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3,80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</w:t>
            </w:r>
            <w:r w:rsidRPr="007103E0">
              <w:rPr>
                <w:shd w:val="clear" w:color="auto" w:fill="92D050"/>
              </w:rPr>
              <w:t>üksek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 xml:space="preserve">Yurt içi </w:t>
            </w:r>
            <w:proofErr w:type="gramStart"/>
            <w:r w:rsidRPr="004F5982">
              <w:t>sempozyum</w:t>
            </w:r>
            <w:proofErr w:type="gramEnd"/>
            <w:r w:rsidRPr="004F5982">
              <w:t>, kongre vb. katılım için sunulan bütçe desteğinden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2,18</w:t>
            </w:r>
          </w:p>
        </w:tc>
        <w:tc>
          <w:tcPr>
            <w:tcW w:w="1389" w:type="dxa"/>
            <w:shd w:val="clear" w:color="auto" w:fill="FFC0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Düşük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 xml:space="preserve">Yurt dışı </w:t>
            </w:r>
            <w:proofErr w:type="gramStart"/>
            <w:r w:rsidRPr="004F5982">
              <w:t>sempozyum</w:t>
            </w:r>
            <w:proofErr w:type="gramEnd"/>
            <w:r w:rsidRPr="004F5982">
              <w:t>, kongre vb. katılım için sunulan bütçe desteğinden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2,21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Düşük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Abone olunan veri tabanlarının yeterliliğinden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3,64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Programınızdaki/Bölümünüzdeki seçmeli derslerin ihtiyaca cevap vermesinden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3,67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Biriminizin öğretim elemanlarının ders yükü dengesinden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3,41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Sürekli Eğitim Merkezi'nin (DÜSEM) sağladığı hizmetlerden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3,47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Dış İlişkiler Ofis biriminin sağladığı hizmetlerden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3,40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Eğitim-öğretim faaliyetleri ile ilgili sağlanan donanım, araç ve gereç desteğinden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2,65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7C36E5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Üniversitemizin ülkemiz ve dünya ölçeğindeki sıralamasından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2,59</w:t>
            </w:r>
          </w:p>
        </w:tc>
        <w:tc>
          <w:tcPr>
            <w:tcW w:w="1389" w:type="dxa"/>
            <w:shd w:val="clear" w:color="auto" w:fill="FFC0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Düşük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Sağlık, Kültür ve Spor (SKS) biriminin sağladığı hizmetlerden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3,02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Ek ders, yolluk ve benzeri ödeme süreçlerinden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3,04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Bilgi İşlem Daire Başkanlığı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3,48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Hukuk destek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3,07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Öğrenci işleri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3,91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Güvenlik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3,14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Yemekhane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2,63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Kantin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3,30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Yapı İşleri Daire Başkanlığı hizmetlerinden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2,64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Kurum ve odaların ısıtma-soğutma açısından yeterli olma durumundan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2,67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Kurum ve odaların aydınlatma açısından yeterli olma durumundan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3,55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lastRenderedPageBreak/>
              <w:t>Kongre-toplantı salonlarının sayı ve fiziksel açıdan uygunluğundan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3,77</w:t>
            </w:r>
          </w:p>
        </w:tc>
        <w:tc>
          <w:tcPr>
            <w:tcW w:w="1389" w:type="dxa"/>
            <w:shd w:val="clear" w:color="auto" w:fill="92D05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Yüksek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Kalite Komisyonu çalışmalarından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3,39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4F5982" w:rsidRPr="004F5982" w:rsidTr="008A0C36">
        <w:trPr>
          <w:trHeight w:val="315"/>
        </w:trPr>
        <w:tc>
          <w:tcPr>
            <w:tcW w:w="6912" w:type="dxa"/>
            <w:noWrap/>
            <w:hideMark/>
          </w:tcPr>
          <w:p w:rsidR="004F5982" w:rsidRPr="004F5982" w:rsidRDefault="004F5982" w:rsidP="007670EB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r w:rsidRPr="004F5982">
              <w:t>Kalite Geliştirme Koordinatörlüğü çalışmalarından</w:t>
            </w:r>
          </w:p>
        </w:tc>
        <w:tc>
          <w:tcPr>
            <w:tcW w:w="1134" w:type="dxa"/>
            <w:noWrap/>
            <w:hideMark/>
          </w:tcPr>
          <w:p w:rsidR="004F5982" w:rsidRPr="004F5982" w:rsidRDefault="004F5982" w:rsidP="00772B48">
            <w:pPr>
              <w:jc w:val="center"/>
            </w:pPr>
            <w:r w:rsidRPr="004F5982">
              <w:t>3,40</w:t>
            </w:r>
          </w:p>
        </w:tc>
        <w:tc>
          <w:tcPr>
            <w:tcW w:w="1389" w:type="dxa"/>
            <w:shd w:val="clear" w:color="auto" w:fill="FFFF00"/>
            <w:noWrap/>
            <w:hideMark/>
          </w:tcPr>
          <w:p w:rsidR="004F5982" w:rsidRPr="004F5982" w:rsidRDefault="004F5982" w:rsidP="007670EB">
            <w:pPr>
              <w:jc w:val="center"/>
            </w:pPr>
            <w:r w:rsidRPr="004F5982">
              <w:t>Orta</w:t>
            </w:r>
          </w:p>
        </w:tc>
      </w:tr>
      <w:tr w:rsidR="00D055DA" w:rsidRPr="004F5982" w:rsidTr="0087292B">
        <w:trPr>
          <w:trHeight w:val="315"/>
        </w:trPr>
        <w:tc>
          <w:tcPr>
            <w:tcW w:w="9435" w:type="dxa"/>
            <w:gridSpan w:val="3"/>
            <w:noWrap/>
            <w:hideMark/>
          </w:tcPr>
          <w:p w:rsidR="00D055DA" w:rsidRPr="004F5982" w:rsidRDefault="00D055DA" w:rsidP="00D055DA">
            <w:r>
              <w:t>Ankette beşli bir dereceleme kullanıldığından her bir madde için hesaplanan ortalamalar yukarıdaki aralıklara bağlı kalınarak yorumlanmıştır.</w:t>
            </w:r>
          </w:p>
        </w:tc>
      </w:tr>
    </w:tbl>
    <w:p w:rsidR="00D055DA" w:rsidRDefault="00D055DA" w:rsidP="00D055DA">
      <w:pPr>
        <w:spacing w:line="276" w:lineRule="auto"/>
      </w:pPr>
    </w:p>
    <w:p w:rsidR="003461B0" w:rsidRDefault="003461B0" w:rsidP="003461B0"/>
    <w:sectPr w:rsidR="003461B0" w:rsidSect="007670EB">
      <w:type w:val="continuous"/>
      <w:pgSz w:w="11906" w:h="16838" w:code="9"/>
      <w:pgMar w:top="1418" w:right="1134" w:bottom="1134" w:left="1134" w:header="0" w:footer="0" w:gutter="17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0B7"/>
    <w:multiLevelType w:val="hybridMultilevel"/>
    <w:tmpl w:val="C80AA0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6994"/>
    <w:rsid w:val="00012AEB"/>
    <w:rsid w:val="001450B9"/>
    <w:rsid w:val="00166994"/>
    <w:rsid w:val="002558EC"/>
    <w:rsid w:val="00275804"/>
    <w:rsid w:val="003461B0"/>
    <w:rsid w:val="003479B1"/>
    <w:rsid w:val="003D0353"/>
    <w:rsid w:val="004F5982"/>
    <w:rsid w:val="00530855"/>
    <w:rsid w:val="005626DD"/>
    <w:rsid w:val="005A2772"/>
    <w:rsid w:val="0071030B"/>
    <w:rsid w:val="007103E0"/>
    <w:rsid w:val="007670EB"/>
    <w:rsid w:val="00772B48"/>
    <w:rsid w:val="00791BF2"/>
    <w:rsid w:val="007A1121"/>
    <w:rsid w:val="007C36E5"/>
    <w:rsid w:val="008A0C36"/>
    <w:rsid w:val="00945B5A"/>
    <w:rsid w:val="00A53766"/>
    <w:rsid w:val="00AB7A8E"/>
    <w:rsid w:val="00AD5CF3"/>
    <w:rsid w:val="00C346C1"/>
    <w:rsid w:val="00C5450F"/>
    <w:rsid w:val="00C97F53"/>
    <w:rsid w:val="00D055DA"/>
    <w:rsid w:val="00D260C9"/>
    <w:rsid w:val="00D804A8"/>
    <w:rsid w:val="00DC4B20"/>
    <w:rsid w:val="00E45138"/>
    <w:rsid w:val="00E7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0F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C5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5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5450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C5450F"/>
    <w:pPr>
      <w:ind w:left="720"/>
      <w:contextualSpacing/>
    </w:pPr>
  </w:style>
  <w:style w:type="table" w:styleId="TabloKlavuzu">
    <w:name w:val="Table Grid"/>
    <w:basedOn w:val="NormalTablo"/>
    <w:uiPriority w:val="39"/>
    <w:rsid w:val="0034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0F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C5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5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5450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C5450F"/>
    <w:pPr>
      <w:ind w:left="720"/>
      <w:contextualSpacing/>
    </w:pPr>
  </w:style>
  <w:style w:type="table" w:styleId="TabloKlavuzu">
    <w:name w:val="Table Grid"/>
    <w:basedOn w:val="NormalTablo"/>
    <w:uiPriority w:val="39"/>
    <w:rsid w:val="0034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Hp</cp:lastModifiedBy>
  <cp:revision>14</cp:revision>
  <dcterms:created xsi:type="dcterms:W3CDTF">2023-05-31T10:49:00Z</dcterms:created>
  <dcterms:modified xsi:type="dcterms:W3CDTF">2023-06-01T11:24:00Z</dcterms:modified>
</cp:coreProperties>
</file>